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B1894">
      <w:pPr>
        <w:pStyle w:val="Heading1"/>
        <w:kinsoku w:val="0"/>
        <w:overflowPunct w:val="0"/>
        <w:spacing w:before="60"/>
        <w:ind w:left="116" w:right="119" w:firstLine="0"/>
        <w:rPr>
          <w:b w:val="0"/>
          <w:bCs w:val="0"/>
        </w:rPr>
      </w:pPr>
      <w:r>
        <w:t>Bursa</w:t>
      </w:r>
      <w:r>
        <w:rPr>
          <w:spacing w:val="-3"/>
        </w:rPr>
        <w:t xml:space="preserve"> </w:t>
      </w:r>
      <w:r>
        <w:t>Announcem</w:t>
      </w:r>
      <w:bookmarkStart w:id="0" w:name="_GoBack"/>
      <w:bookmarkEnd w:id="0"/>
      <w:r>
        <w:t>ent</w:t>
      </w:r>
    </w:p>
    <w:p w:rsidR="00000000" w:rsidRDefault="003B1894">
      <w:pPr>
        <w:pStyle w:val="BodyText"/>
        <w:kinsoku w:val="0"/>
        <w:overflowPunct w:val="0"/>
        <w:spacing w:before="11"/>
        <w:ind w:left="0"/>
        <w:rPr>
          <w:b/>
          <w:bCs/>
          <w:sz w:val="20"/>
          <w:szCs w:val="20"/>
        </w:rPr>
      </w:pPr>
    </w:p>
    <w:p w:rsidR="00000000" w:rsidRDefault="003B1894">
      <w:pPr>
        <w:pStyle w:val="BodyText"/>
        <w:tabs>
          <w:tab w:val="left" w:pos="1557"/>
        </w:tabs>
        <w:kinsoku w:val="0"/>
        <w:overflowPunct w:val="0"/>
        <w:ind w:left="1557" w:right="119" w:hanging="1441"/>
      </w:pPr>
      <w:r>
        <w:rPr>
          <w:b/>
          <w:bCs/>
          <w:spacing w:val="-1"/>
        </w:rPr>
        <w:t>Subject:</w:t>
      </w:r>
      <w:r>
        <w:rPr>
          <w:b/>
          <w:bCs/>
          <w:spacing w:val="-1"/>
        </w:rPr>
        <w:tab/>
        <w:t>Profit</w:t>
      </w:r>
      <w:r>
        <w:rPr>
          <w:b/>
          <w:bCs/>
        </w:rPr>
        <w:t xml:space="preserve">  </w:t>
      </w:r>
      <w:r>
        <w:rPr>
          <w:b/>
          <w:bCs/>
          <w:spacing w:val="-1"/>
        </w:rPr>
        <w:t>Sharing</w:t>
      </w:r>
      <w:r>
        <w:rPr>
          <w:b/>
          <w:bCs/>
        </w:rPr>
        <w:t xml:space="preserve">  </w:t>
      </w:r>
      <w:r>
        <w:rPr>
          <w:b/>
          <w:bCs/>
          <w:spacing w:val="-1"/>
        </w:rPr>
        <w:t>Agreement</w:t>
      </w:r>
      <w:r>
        <w:rPr>
          <w:b/>
          <w:bCs/>
        </w:rPr>
        <w:t xml:space="preserve">  </w:t>
      </w:r>
      <w:r>
        <w:rPr>
          <w:b/>
          <w:bCs/>
          <w:spacing w:val="-1"/>
        </w:rPr>
        <w:t>entered</w:t>
      </w:r>
      <w:r>
        <w:rPr>
          <w:b/>
          <w:bCs/>
        </w:rPr>
        <w:t xml:space="preserve">  </w:t>
      </w:r>
      <w:r>
        <w:rPr>
          <w:b/>
          <w:bCs/>
          <w:spacing w:val="-1"/>
        </w:rPr>
        <w:t>into</w:t>
      </w:r>
      <w:r>
        <w:rPr>
          <w:b/>
          <w:bCs/>
        </w:rPr>
        <w:t xml:space="preserve">  </w:t>
      </w:r>
      <w:r>
        <w:rPr>
          <w:b/>
          <w:bCs/>
          <w:spacing w:val="-1"/>
        </w:rPr>
        <w:t>between</w:t>
      </w:r>
      <w:r>
        <w:rPr>
          <w:b/>
          <w:bCs/>
        </w:rPr>
        <w:t xml:space="preserve">  </w:t>
      </w:r>
      <w:r>
        <w:rPr>
          <w:b/>
          <w:bCs/>
          <w:spacing w:val="-1"/>
        </w:rPr>
        <w:t>AirAsia</w:t>
      </w:r>
      <w:r>
        <w:rPr>
          <w:b/>
          <w:bCs/>
        </w:rPr>
        <w:t xml:space="preserve">  </w:t>
      </w:r>
      <w:r>
        <w:rPr>
          <w:b/>
          <w:bCs/>
          <w:spacing w:val="-1"/>
        </w:rPr>
        <w:t>Berhad</w:t>
      </w:r>
      <w:r>
        <w:rPr>
          <w:b/>
          <w:bCs/>
        </w:rPr>
        <w:t xml:space="preserve">  </w:t>
      </w:r>
      <w:r>
        <w:rPr>
          <w:b/>
          <w:bCs/>
          <w:spacing w:val="-1"/>
        </w:rPr>
        <w:t>and</w:t>
      </w:r>
      <w:r>
        <w:rPr>
          <w:b/>
          <w:bCs/>
          <w:spacing w:val="24"/>
        </w:rPr>
        <w:t xml:space="preserve"> </w:t>
      </w:r>
      <w:r>
        <w:rPr>
          <w:b/>
          <w:bCs/>
          <w:spacing w:val="-1"/>
        </w:rPr>
        <w:t>AirAsia</w:t>
      </w:r>
      <w:r>
        <w:rPr>
          <w:b/>
          <w:bCs/>
          <w:spacing w:val="52"/>
        </w:rPr>
        <w:t xml:space="preserve"> </w:t>
      </w:r>
      <w:r>
        <w:rPr>
          <w:b/>
          <w:bCs/>
        </w:rPr>
        <w:t>X Berhad</w:t>
      </w:r>
    </w:p>
    <w:p w:rsidR="00000000" w:rsidRDefault="003B1894">
      <w:pPr>
        <w:pStyle w:val="BodyText"/>
        <w:kinsoku w:val="0"/>
        <w:overflowPunct w:val="0"/>
        <w:spacing w:before="2"/>
        <w:ind w:left="0"/>
        <w:rPr>
          <w:b/>
          <w:bCs/>
        </w:rPr>
      </w:pPr>
    </w:p>
    <w:p w:rsidR="00000000" w:rsidRDefault="003B1894">
      <w:pPr>
        <w:pStyle w:val="BodyText"/>
        <w:kinsoku w:val="0"/>
        <w:overflowPunct w:val="0"/>
        <w:ind w:left="116" w:right="119"/>
      </w:pPr>
      <w:r>
        <w:rPr>
          <w:b/>
          <w:bCs/>
        </w:rPr>
        <w:t>Contents:</w:t>
      </w:r>
    </w:p>
    <w:p w:rsidR="00000000" w:rsidRDefault="003B1894">
      <w:pPr>
        <w:pStyle w:val="BodyText"/>
        <w:kinsoku w:val="0"/>
        <w:overflowPunct w:val="0"/>
        <w:spacing w:before="11"/>
        <w:ind w:left="0"/>
        <w:rPr>
          <w:b/>
          <w:bCs/>
          <w:sz w:val="20"/>
          <w:szCs w:val="20"/>
        </w:rPr>
      </w:pPr>
    </w:p>
    <w:p w:rsidR="00000000" w:rsidRDefault="003B1894">
      <w:pPr>
        <w:pStyle w:val="ListParagraph"/>
        <w:numPr>
          <w:ilvl w:val="0"/>
          <w:numId w:val="1"/>
        </w:numPr>
        <w:tabs>
          <w:tab w:val="left" w:pos="684"/>
        </w:tabs>
        <w:kinsoku w:val="0"/>
        <w:overflowPunct w:val="0"/>
        <w:rPr>
          <w:rFonts w:ascii="Arial" w:hAnsi="Arial" w:cs="Arial"/>
          <w:sz w:val="21"/>
          <w:szCs w:val="21"/>
        </w:rPr>
      </w:pPr>
      <w:r>
        <w:rPr>
          <w:rFonts w:ascii="Arial" w:hAnsi="Arial" w:cs="Arial"/>
          <w:b/>
          <w:bCs/>
          <w:sz w:val="21"/>
          <w:szCs w:val="21"/>
        </w:rPr>
        <w:t>Introduction</w:t>
      </w:r>
    </w:p>
    <w:p w:rsidR="00000000" w:rsidRDefault="003B1894">
      <w:pPr>
        <w:pStyle w:val="BodyText"/>
        <w:kinsoku w:val="0"/>
        <w:overflowPunct w:val="0"/>
        <w:spacing w:before="9"/>
        <w:ind w:left="0"/>
        <w:rPr>
          <w:b/>
          <w:bCs/>
          <w:sz w:val="20"/>
          <w:szCs w:val="20"/>
        </w:rPr>
      </w:pPr>
    </w:p>
    <w:p w:rsidR="00000000" w:rsidRDefault="003B1894">
      <w:pPr>
        <w:pStyle w:val="BodyText"/>
        <w:kinsoku w:val="0"/>
        <w:overflowPunct w:val="0"/>
        <w:ind w:right="118"/>
        <w:jc w:val="both"/>
      </w:pPr>
      <w:r>
        <w:t>Pursuant to Paragraph 10.08(1) of the Main Market Listing Requirements of Bursa Malaysia Securities Berhad (“</w:t>
      </w:r>
      <w:r>
        <w:rPr>
          <w:b/>
          <w:bCs/>
        </w:rPr>
        <w:t>MMLR</w:t>
      </w:r>
      <w:r>
        <w:t>”), the Board of Directors of AirAsia X Berhad (“</w:t>
      </w:r>
      <w:r>
        <w:rPr>
          <w:b/>
          <w:bCs/>
        </w:rPr>
        <w:t>AAX</w:t>
      </w:r>
      <w:r>
        <w:t>” or “</w:t>
      </w:r>
      <w:r>
        <w:rPr>
          <w:b/>
          <w:bCs/>
        </w:rPr>
        <w:t>the Company</w:t>
      </w:r>
      <w:r>
        <w:t xml:space="preserve">”) wishes to announce that the Company and </w:t>
      </w:r>
      <w:r>
        <w:t>AirAsia Berhad (“</w:t>
      </w:r>
      <w:r>
        <w:rPr>
          <w:b/>
          <w:bCs/>
        </w:rPr>
        <w:t>AAB</w:t>
      </w:r>
      <w:r>
        <w:t>”) have on 10 November 2019 entered into the Profit Sharing Agreement (“</w:t>
      </w:r>
      <w:r>
        <w:rPr>
          <w:b/>
          <w:bCs/>
        </w:rPr>
        <w:t>Agreement</w:t>
      </w:r>
      <w:r>
        <w:t>”) to govern the terms and conditions of a profit sharing arrangement in relation to the transfer of two (2) slots of Kuala Lumpur – Singapore route (“</w:t>
      </w:r>
      <w:r>
        <w:rPr>
          <w:b/>
          <w:bCs/>
        </w:rPr>
        <w:t>Airport Slots</w:t>
      </w:r>
      <w:r>
        <w:t>”) from AAB to the Company</w:t>
      </w:r>
      <w:r>
        <w:rPr>
          <w:spacing w:val="-19"/>
        </w:rPr>
        <w:t xml:space="preserve"> </w:t>
      </w:r>
      <w:r>
        <w:t>(“</w:t>
      </w:r>
      <w:r>
        <w:rPr>
          <w:b/>
          <w:bCs/>
        </w:rPr>
        <w:t>Transaction</w:t>
      </w:r>
      <w:r>
        <w:t>”).</w:t>
      </w:r>
    </w:p>
    <w:p w:rsidR="00000000" w:rsidRDefault="003B1894">
      <w:pPr>
        <w:pStyle w:val="BodyText"/>
        <w:kinsoku w:val="0"/>
        <w:overflowPunct w:val="0"/>
        <w:spacing w:before="11"/>
        <w:ind w:left="0"/>
        <w:rPr>
          <w:sz w:val="20"/>
          <w:szCs w:val="20"/>
        </w:rPr>
      </w:pPr>
    </w:p>
    <w:p w:rsidR="00000000" w:rsidRDefault="003B1894">
      <w:pPr>
        <w:pStyle w:val="Heading1"/>
        <w:numPr>
          <w:ilvl w:val="0"/>
          <w:numId w:val="1"/>
        </w:numPr>
        <w:tabs>
          <w:tab w:val="left" w:pos="684"/>
        </w:tabs>
        <w:kinsoku w:val="0"/>
        <w:overflowPunct w:val="0"/>
        <w:rPr>
          <w:b w:val="0"/>
          <w:bCs w:val="0"/>
        </w:rPr>
      </w:pPr>
      <w:r>
        <w:t>Details of</w:t>
      </w:r>
      <w:r>
        <w:rPr>
          <w:spacing w:val="-4"/>
        </w:rPr>
        <w:t xml:space="preserve"> </w:t>
      </w:r>
      <w:r>
        <w:t>AAB</w:t>
      </w:r>
    </w:p>
    <w:p w:rsidR="00000000" w:rsidRDefault="003B1894">
      <w:pPr>
        <w:pStyle w:val="BodyText"/>
        <w:kinsoku w:val="0"/>
        <w:overflowPunct w:val="0"/>
        <w:ind w:left="0"/>
        <w:rPr>
          <w:b/>
          <w:bCs/>
        </w:rPr>
      </w:pPr>
    </w:p>
    <w:p w:rsidR="00000000" w:rsidRDefault="003B1894">
      <w:pPr>
        <w:pStyle w:val="ListParagraph"/>
        <w:numPr>
          <w:ilvl w:val="1"/>
          <w:numId w:val="1"/>
        </w:numPr>
        <w:tabs>
          <w:tab w:val="left" w:pos="1284"/>
        </w:tabs>
        <w:kinsoku w:val="0"/>
        <w:overflowPunct w:val="0"/>
        <w:ind w:right="146" w:hanging="626"/>
        <w:jc w:val="both"/>
        <w:rPr>
          <w:rFonts w:ascii="Arial" w:hAnsi="Arial" w:cs="Arial"/>
          <w:color w:val="000000"/>
          <w:sz w:val="21"/>
          <w:szCs w:val="21"/>
        </w:rPr>
      </w:pPr>
      <w:r>
        <w:rPr>
          <w:rFonts w:ascii="Arial" w:hAnsi="Arial" w:cs="Arial"/>
          <w:sz w:val="21"/>
          <w:szCs w:val="21"/>
        </w:rPr>
        <w:t xml:space="preserve">AAB is a low-cost carrier which was established in 2001 and listed on the Main Market of Bursa Malaysia Securities Berhad in November 2004, with hubs in Kuala </w:t>
      </w:r>
      <w:r>
        <w:rPr>
          <w:rFonts w:ascii="Arial" w:hAnsi="Arial" w:cs="Arial"/>
          <w:spacing w:val="-3"/>
          <w:sz w:val="21"/>
          <w:szCs w:val="21"/>
        </w:rPr>
        <w:t xml:space="preserve">Lumpur, </w:t>
      </w:r>
      <w:r>
        <w:rPr>
          <w:rFonts w:ascii="Arial" w:hAnsi="Arial" w:cs="Arial"/>
          <w:sz w:val="21"/>
          <w:szCs w:val="21"/>
        </w:rPr>
        <w:t>Penang, Johor B</w:t>
      </w:r>
      <w:r>
        <w:rPr>
          <w:rFonts w:ascii="Arial" w:hAnsi="Arial" w:cs="Arial"/>
          <w:sz w:val="21"/>
          <w:szCs w:val="21"/>
        </w:rPr>
        <w:t>ahru and Kuching. Since pioneering the short-haul low-cost carrier model in Asean in 2001, AAB has grown from a domestic airline in Malaysia to the leading low-cost airline in</w:t>
      </w:r>
      <w:r>
        <w:rPr>
          <w:rFonts w:ascii="Arial" w:hAnsi="Arial" w:cs="Arial"/>
          <w:spacing w:val="-13"/>
          <w:sz w:val="21"/>
          <w:szCs w:val="21"/>
        </w:rPr>
        <w:t xml:space="preserve"> </w:t>
      </w:r>
      <w:r>
        <w:rPr>
          <w:rFonts w:ascii="Arial" w:hAnsi="Arial" w:cs="Arial"/>
          <w:sz w:val="21"/>
          <w:szCs w:val="21"/>
        </w:rPr>
        <w:t>Asia.</w:t>
      </w:r>
      <w:r>
        <w:rPr>
          <w:rFonts w:ascii="Arial" w:hAnsi="Arial" w:cs="Arial"/>
          <w:spacing w:val="-2"/>
          <w:sz w:val="21"/>
          <w:szCs w:val="21"/>
        </w:rPr>
        <w:t xml:space="preserve"> </w:t>
      </w:r>
      <w:r>
        <w:rPr>
          <w:rFonts w:ascii="Arial" w:hAnsi="Arial" w:cs="Arial"/>
          <w:sz w:val="21"/>
          <w:szCs w:val="21"/>
        </w:rPr>
        <w:t>It</w:t>
      </w:r>
      <w:r>
        <w:rPr>
          <w:rFonts w:ascii="Arial" w:hAnsi="Arial" w:cs="Arial"/>
          <w:spacing w:val="-2"/>
          <w:sz w:val="21"/>
          <w:szCs w:val="21"/>
        </w:rPr>
        <w:t xml:space="preserve"> </w:t>
      </w:r>
      <w:r>
        <w:rPr>
          <w:rFonts w:ascii="Arial" w:hAnsi="Arial" w:cs="Arial"/>
          <w:sz w:val="21"/>
          <w:szCs w:val="21"/>
        </w:rPr>
        <w:t>currently</w:t>
      </w:r>
      <w:r>
        <w:rPr>
          <w:rFonts w:ascii="Arial" w:hAnsi="Arial" w:cs="Arial"/>
          <w:spacing w:val="-1"/>
          <w:sz w:val="21"/>
          <w:szCs w:val="21"/>
        </w:rPr>
        <w:t xml:space="preserve"> </w:t>
      </w:r>
      <w:r>
        <w:rPr>
          <w:rFonts w:ascii="Arial" w:hAnsi="Arial" w:cs="Arial"/>
          <w:sz w:val="21"/>
          <w:szCs w:val="21"/>
        </w:rPr>
        <w:t>operates</w:t>
      </w:r>
      <w:r>
        <w:rPr>
          <w:rFonts w:ascii="Arial" w:hAnsi="Arial" w:cs="Arial"/>
          <w:spacing w:val="-1"/>
          <w:sz w:val="21"/>
          <w:szCs w:val="21"/>
        </w:rPr>
        <w:t xml:space="preserve"> </w:t>
      </w:r>
      <w:r>
        <w:rPr>
          <w:rFonts w:ascii="Arial" w:hAnsi="Arial" w:cs="Arial"/>
          <w:sz w:val="21"/>
          <w:szCs w:val="21"/>
        </w:rPr>
        <w:t>a</w:t>
      </w:r>
      <w:r>
        <w:rPr>
          <w:rFonts w:ascii="Arial" w:hAnsi="Arial" w:cs="Arial"/>
          <w:spacing w:val="-1"/>
          <w:sz w:val="21"/>
          <w:szCs w:val="21"/>
        </w:rPr>
        <w:t xml:space="preserve"> </w:t>
      </w:r>
      <w:r>
        <w:rPr>
          <w:rFonts w:ascii="Arial" w:hAnsi="Arial" w:cs="Arial"/>
          <w:sz w:val="21"/>
          <w:szCs w:val="21"/>
        </w:rPr>
        <w:t>fleet</w:t>
      </w:r>
      <w:r>
        <w:rPr>
          <w:rFonts w:ascii="Arial" w:hAnsi="Arial" w:cs="Arial"/>
          <w:spacing w:val="-2"/>
          <w:sz w:val="21"/>
          <w:szCs w:val="21"/>
        </w:rPr>
        <w:t xml:space="preserve"> </w:t>
      </w:r>
      <w:r>
        <w:rPr>
          <w:rFonts w:ascii="Arial" w:hAnsi="Arial" w:cs="Arial"/>
          <w:sz w:val="21"/>
          <w:szCs w:val="21"/>
        </w:rPr>
        <w:t>of</w:t>
      </w:r>
      <w:r>
        <w:rPr>
          <w:rFonts w:ascii="Arial" w:hAnsi="Arial" w:cs="Arial"/>
          <w:spacing w:val="-2"/>
          <w:sz w:val="21"/>
          <w:szCs w:val="21"/>
        </w:rPr>
        <w:t xml:space="preserve"> </w:t>
      </w:r>
      <w:r>
        <w:rPr>
          <w:rFonts w:ascii="Arial" w:hAnsi="Arial" w:cs="Arial"/>
          <w:sz w:val="21"/>
          <w:szCs w:val="21"/>
        </w:rPr>
        <w:t>100</w:t>
      </w:r>
      <w:r>
        <w:rPr>
          <w:rFonts w:ascii="Arial" w:hAnsi="Arial" w:cs="Arial"/>
          <w:spacing w:val="-13"/>
          <w:sz w:val="21"/>
          <w:szCs w:val="21"/>
        </w:rPr>
        <w:t xml:space="preserve"> </w:t>
      </w:r>
      <w:r>
        <w:rPr>
          <w:rFonts w:ascii="Arial" w:hAnsi="Arial" w:cs="Arial"/>
          <w:sz w:val="21"/>
          <w:szCs w:val="21"/>
        </w:rPr>
        <w:t>Airbus</w:t>
      </w:r>
      <w:r>
        <w:rPr>
          <w:rFonts w:ascii="Arial" w:hAnsi="Arial" w:cs="Arial"/>
          <w:spacing w:val="-13"/>
          <w:sz w:val="21"/>
          <w:szCs w:val="21"/>
        </w:rPr>
        <w:t xml:space="preserve"> </w:t>
      </w:r>
      <w:r>
        <w:rPr>
          <w:rFonts w:ascii="Arial" w:hAnsi="Arial" w:cs="Arial"/>
          <w:sz w:val="21"/>
          <w:szCs w:val="21"/>
        </w:rPr>
        <w:t>A320s.</w:t>
      </w:r>
    </w:p>
    <w:p w:rsidR="00000000" w:rsidRDefault="003B1894">
      <w:pPr>
        <w:pStyle w:val="BodyText"/>
        <w:kinsoku w:val="0"/>
        <w:overflowPunct w:val="0"/>
        <w:spacing w:before="11"/>
        <w:ind w:left="0"/>
        <w:rPr>
          <w:sz w:val="20"/>
          <w:szCs w:val="20"/>
        </w:rPr>
      </w:pPr>
    </w:p>
    <w:p w:rsidR="00000000" w:rsidRDefault="003B1894">
      <w:pPr>
        <w:pStyle w:val="ListParagraph"/>
        <w:numPr>
          <w:ilvl w:val="1"/>
          <w:numId w:val="1"/>
        </w:numPr>
        <w:tabs>
          <w:tab w:val="left" w:pos="1250"/>
        </w:tabs>
        <w:kinsoku w:val="0"/>
        <w:overflowPunct w:val="0"/>
        <w:ind w:left="1250" w:right="122" w:hanging="567"/>
        <w:jc w:val="both"/>
        <w:rPr>
          <w:rFonts w:ascii="Arial" w:hAnsi="Arial" w:cs="Arial"/>
          <w:color w:val="212121"/>
          <w:sz w:val="21"/>
          <w:szCs w:val="21"/>
        </w:rPr>
      </w:pPr>
      <w:r>
        <w:rPr>
          <w:rFonts w:ascii="Arial" w:hAnsi="Arial" w:cs="Arial"/>
          <w:color w:val="212121"/>
          <w:sz w:val="21"/>
          <w:szCs w:val="21"/>
        </w:rPr>
        <w:t>In 2017, AAB undertook</w:t>
      </w:r>
      <w:r>
        <w:rPr>
          <w:rFonts w:ascii="Arial" w:hAnsi="Arial" w:cs="Arial"/>
          <w:color w:val="212121"/>
          <w:sz w:val="21"/>
          <w:szCs w:val="21"/>
        </w:rPr>
        <w:t xml:space="preserve"> an internal reorganisation by way of a members’ scheme of arrangement under Section 366 of the Companies Act 2016. Following the completion of the internal reorganisation of AAB and the transfer of its listing status to AirAsia Group Berhad (“</w:t>
      </w:r>
      <w:r>
        <w:rPr>
          <w:rFonts w:ascii="Arial" w:hAnsi="Arial" w:cs="Arial"/>
          <w:b/>
          <w:bCs/>
          <w:color w:val="212121"/>
          <w:sz w:val="21"/>
          <w:szCs w:val="21"/>
        </w:rPr>
        <w:t>AAGB</w:t>
      </w:r>
      <w:r>
        <w:rPr>
          <w:rFonts w:ascii="Arial" w:hAnsi="Arial" w:cs="Arial"/>
          <w:color w:val="212121"/>
          <w:sz w:val="21"/>
          <w:szCs w:val="21"/>
        </w:rPr>
        <w:t>”) on 16</w:t>
      </w:r>
      <w:r>
        <w:rPr>
          <w:rFonts w:ascii="Arial" w:hAnsi="Arial" w:cs="Arial"/>
          <w:color w:val="212121"/>
          <w:sz w:val="21"/>
          <w:szCs w:val="21"/>
        </w:rPr>
        <w:t xml:space="preserve"> April 2018, AAB is now a wholly-owned subsidiary of</w:t>
      </w:r>
      <w:r>
        <w:rPr>
          <w:rFonts w:ascii="Arial" w:hAnsi="Arial" w:cs="Arial"/>
          <w:color w:val="212121"/>
          <w:spacing w:val="-18"/>
          <w:sz w:val="21"/>
          <w:szCs w:val="21"/>
        </w:rPr>
        <w:t xml:space="preserve"> </w:t>
      </w:r>
      <w:r>
        <w:rPr>
          <w:rFonts w:ascii="Arial" w:hAnsi="Arial" w:cs="Arial"/>
          <w:color w:val="212121"/>
          <w:sz w:val="21"/>
          <w:szCs w:val="21"/>
        </w:rPr>
        <w:t>AAGB.</w:t>
      </w:r>
    </w:p>
    <w:p w:rsidR="00000000" w:rsidRDefault="003B1894">
      <w:pPr>
        <w:pStyle w:val="BodyText"/>
        <w:kinsoku w:val="0"/>
        <w:overflowPunct w:val="0"/>
        <w:spacing w:before="11"/>
        <w:ind w:left="0"/>
        <w:rPr>
          <w:sz w:val="20"/>
          <w:szCs w:val="20"/>
        </w:rPr>
      </w:pPr>
    </w:p>
    <w:p w:rsidR="00000000" w:rsidRDefault="003B1894">
      <w:pPr>
        <w:pStyle w:val="ListParagraph"/>
        <w:numPr>
          <w:ilvl w:val="1"/>
          <w:numId w:val="1"/>
        </w:numPr>
        <w:tabs>
          <w:tab w:val="left" w:pos="1250"/>
        </w:tabs>
        <w:kinsoku w:val="0"/>
        <w:overflowPunct w:val="0"/>
        <w:ind w:left="1250" w:right="118" w:hanging="567"/>
        <w:jc w:val="both"/>
        <w:rPr>
          <w:rFonts w:ascii="Arial" w:hAnsi="Arial" w:cs="Arial"/>
          <w:color w:val="212121"/>
          <w:sz w:val="21"/>
          <w:szCs w:val="21"/>
        </w:rPr>
      </w:pPr>
      <w:r>
        <w:rPr>
          <w:rFonts w:ascii="Arial" w:hAnsi="Arial" w:cs="Arial"/>
          <w:color w:val="000000"/>
          <w:sz w:val="21"/>
          <w:szCs w:val="21"/>
        </w:rPr>
        <w:t>AAB is deemed to be a related party to AAX by virtue of the fact that AAGB’s directors and major shareholders, namely Datuk Kamarudin bin Meranun and Tan Sri Anthony Francis Fernandes are also the</w:t>
      </w:r>
      <w:r>
        <w:rPr>
          <w:rFonts w:ascii="Arial" w:hAnsi="Arial" w:cs="Arial"/>
          <w:color w:val="000000"/>
          <w:sz w:val="21"/>
          <w:szCs w:val="21"/>
        </w:rPr>
        <w:t xml:space="preserve"> Directors and Major Shareholders in AAX. Dato’ Fam Lee Ee is a director in AAGB, and represents AAGB as a Director in</w:t>
      </w:r>
      <w:r>
        <w:rPr>
          <w:rFonts w:ascii="Arial" w:hAnsi="Arial" w:cs="Arial"/>
          <w:color w:val="000000"/>
          <w:spacing w:val="-13"/>
          <w:sz w:val="21"/>
          <w:szCs w:val="21"/>
        </w:rPr>
        <w:t xml:space="preserve"> </w:t>
      </w:r>
      <w:r>
        <w:rPr>
          <w:rFonts w:ascii="Arial" w:hAnsi="Arial" w:cs="Arial"/>
          <w:color w:val="000000"/>
          <w:sz w:val="21"/>
          <w:szCs w:val="21"/>
        </w:rPr>
        <w:t>AAX.</w:t>
      </w:r>
    </w:p>
    <w:p w:rsidR="00000000" w:rsidRDefault="003B1894">
      <w:pPr>
        <w:pStyle w:val="BodyText"/>
        <w:kinsoku w:val="0"/>
        <w:overflowPunct w:val="0"/>
        <w:spacing w:before="11"/>
        <w:ind w:left="0"/>
        <w:rPr>
          <w:sz w:val="20"/>
          <w:szCs w:val="20"/>
        </w:rPr>
      </w:pPr>
    </w:p>
    <w:p w:rsidR="00000000" w:rsidRDefault="003B1894">
      <w:pPr>
        <w:pStyle w:val="BodyText"/>
        <w:kinsoku w:val="0"/>
        <w:overflowPunct w:val="0"/>
        <w:ind w:left="1250" w:right="179"/>
      </w:pPr>
      <w:r>
        <w:t>(Tan Sri Anthony Francis Fernandes, Datuk Kamarudin bin Meranun and Dato’ Fam Lee  Ee are collectively referred to as “</w:t>
      </w:r>
      <w:r>
        <w:rPr>
          <w:b/>
          <w:bCs/>
        </w:rPr>
        <w:t>Related</w:t>
      </w:r>
      <w:r>
        <w:rPr>
          <w:b/>
          <w:bCs/>
          <w:spacing w:val="-17"/>
        </w:rPr>
        <w:t xml:space="preserve"> </w:t>
      </w:r>
      <w:r>
        <w:rPr>
          <w:b/>
          <w:bCs/>
        </w:rPr>
        <w:t>Parties</w:t>
      </w:r>
      <w:r>
        <w:t>”).</w:t>
      </w:r>
    </w:p>
    <w:p w:rsidR="00000000" w:rsidRDefault="003B1894">
      <w:pPr>
        <w:pStyle w:val="BodyText"/>
        <w:kinsoku w:val="0"/>
        <w:overflowPunct w:val="0"/>
        <w:spacing w:before="11"/>
        <w:ind w:left="0"/>
        <w:rPr>
          <w:sz w:val="20"/>
          <w:szCs w:val="20"/>
        </w:rPr>
      </w:pPr>
    </w:p>
    <w:p w:rsidR="00000000" w:rsidRDefault="003B1894">
      <w:pPr>
        <w:pStyle w:val="Heading1"/>
        <w:numPr>
          <w:ilvl w:val="0"/>
          <w:numId w:val="1"/>
        </w:numPr>
        <w:tabs>
          <w:tab w:val="left" w:pos="684"/>
        </w:tabs>
        <w:kinsoku w:val="0"/>
        <w:overflowPunct w:val="0"/>
        <w:rPr>
          <w:b w:val="0"/>
          <w:bCs w:val="0"/>
        </w:rPr>
      </w:pPr>
      <w:r>
        <w:t>Salient Terms of the</w:t>
      </w:r>
      <w:r>
        <w:rPr>
          <w:spacing w:val="-7"/>
        </w:rPr>
        <w:t xml:space="preserve"> </w:t>
      </w:r>
      <w:r>
        <w:t>Agreement</w:t>
      </w:r>
    </w:p>
    <w:p w:rsidR="00000000" w:rsidRDefault="003B1894">
      <w:pPr>
        <w:pStyle w:val="BodyText"/>
        <w:kinsoku w:val="0"/>
        <w:overflowPunct w:val="0"/>
        <w:spacing w:before="9"/>
        <w:ind w:left="0"/>
        <w:rPr>
          <w:b/>
          <w:bCs/>
          <w:sz w:val="20"/>
          <w:szCs w:val="20"/>
        </w:rPr>
      </w:pPr>
    </w:p>
    <w:p w:rsidR="00000000" w:rsidRDefault="003B1894">
      <w:pPr>
        <w:pStyle w:val="ListParagraph"/>
        <w:numPr>
          <w:ilvl w:val="1"/>
          <w:numId w:val="1"/>
        </w:numPr>
        <w:tabs>
          <w:tab w:val="left" w:pos="1289"/>
        </w:tabs>
        <w:kinsoku w:val="0"/>
        <w:overflowPunct w:val="0"/>
        <w:ind w:left="1288" w:right="115" w:hanging="631"/>
        <w:jc w:val="both"/>
        <w:rPr>
          <w:rFonts w:ascii="Arial" w:hAnsi="Arial" w:cs="Arial"/>
          <w:color w:val="000000"/>
          <w:sz w:val="21"/>
          <w:szCs w:val="21"/>
        </w:rPr>
      </w:pPr>
      <w:r>
        <w:rPr>
          <w:rFonts w:ascii="Arial" w:hAnsi="Arial" w:cs="Arial"/>
          <w:sz w:val="21"/>
          <w:szCs w:val="21"/>
        </w:rPr>
        <w:t>The Agreement shall be effective on the date of the Agreement, for a period of one  (1) year, and may be renewed for another one (1) year (“</w:t>
      </w:r>
      <w:r>
        <w:rPr>
          <w:rFonts w:ascii="Arial" w:hAnsi="Arial" w:cs="Arial"/>
          <w:b/>
          <w:bCs/>
          <w:sz w:val="21"/>
          <w:szCs w:val="21"/>
        </w:rPr>
        <w:t>Term</w:t>
      </w:r>
      <w:r>
        <w:rPr>
          <w:rFonts w:ascii="Arial" w:hAnsi="Arial" w:cs="Arial"/>
          <w:sz w:val="21"/>
          <w:szCs w:val="21"/>
        </w:rPr>
        <w:t>”) by mutual agreement in writing by both AAX and AAB. Unless otherw</w:t>
      </w:r>
      <w:r>
        <w:rPr>
          <w:rFonts w:ascii="Arial" w:hAnsi="Arial" w:cs="Arial"/>
          <w:sz w:val="21"/>
          <w:szCs w:val="21"/>
        </w:rPr>
        <w:t>ise agreed in writing and subject to regulatory approval, in the event AAX’s performance of the Kuala Lumpur – Singapore route (“</w:t>
      </w:r>
      <w:r>
        <w:rPr>
          <w:rFonts w:ascii="Arial" w:hAnsi="Arial" w:cs="Arial"/>
          <w:b/>
          <w:bCs/>
          <w:sz w:val="21"/>
          <w:szCs w:val="21"/>
        </w:rPr>
        <w:t>KUL- SIN Route</w:t>
      </w:r>
      <w:r>
        <w:rPr>
          <w:rFonts w:ascii="Arial" w:hAnsi="Arial" w:cs="Arial"/>
          <w:sz w:val="21"/>
          <w:szCs w:val="21"/>
        </w:rPr>
        <w:t xml:space="preserve">”) does not meet the mutually agreed expectations or the Agreement is not extended or that AAX ceases or intends </w:t>
      </w:r>
      <w:r>
        <w:rPr>
          <w:rFonts w:ascii="Arial" w:hAnsi="Arial" w:cs="Arial"/>
          <w:sz w:val="21"/>
          <w:szCs w:val="21"/>
        </w:rPr>
        <w:t>to cease operation of the KUL-SIN Route, the Airport Slots shall be returned to</w:t>
      </w:r>
      <w:r>
        <w:rPr>
          <w:rFonts w:ascii="Arial" w:hAnsi="Arial" w:cs="Arial"/>
          <w:spacing w:val="-7"/>
          <w:sz w:val="21"/>
          <w:szCs w:val="21"/>
        </w:rPr>
        <w:t xml:space="preserve"> </w:t>
      </w:r>
      <w:r>
        <w:rPr>
          <w:rFonts w:ascii="Arial" w:hAnsi="Arial" w:cs="Arial"/>
          <w:sz w:val="21"/>
          <w:szCs w:val="21"/>
        </w:rPr>
        <w:t>AAB.</w:t>
      </w:r>
    </w:p>
    <w:p w:rsidR="00000000" w:rsidRDefault="003B1894">
      <w:pPr>
        <w:pStyle w:val="BodyText"/>
        <w:kinsoku w:val="0"/>
        <w:overflowPunct w:val="0"/>
        <w:ind w:left="0"/>
      </w:pPr>
    </w:p>
    <w:p w:rsidR="00000000" w:rsidRDefault="003B1894">
      <w:pPr>
        <w:pStyle w:val="ListParagraph"/>
        <w:numPr>
          <w:ilvl w:val="1"/>
          <w:numId w:val="1"/>
        </w:numPr>
        <w:tabs>
          <w:tab w:val="left" w:pos="1289"/>
        </w:tabs>
        <w:kinsoku w:val="0"/>
        <w:overflowPunct w:val="0"/>
        <w:ind w:left="1288" w:right="118" w:hanging="631"/>
        <w:jc w:val="both"/>
        <w:rPr>
          <w:rFonts w:ascii="Arial" w:hAnsi="Arial" w:cs="Arial"/>
          <w:color w:val="000000"/>
          <w:sz w:val="21"/>
          <w:szCs w:val="21"/>
        </w:rPr>
      </w:pPr>
      <w:r>
        <w:rPr>
          <w:rFonts w:ascii="Arial" w:hAnsi="Arial" w:cs="Arial"/>
          <w:sz w:val="21"/>
          <w:szCs w:val="21"/>
        </w:rPr>
        <w:t>In consideration of the terms and conditions agreed, both AAX and AAB agree to share fifty percent (50%) of the Net Operating Profit for each calendar month during the</w:t>
      </w:r>
      <w:r>
        <w:rPr>
          <w:rFonts w:ascii="Arial" w:hAnsi="Arial" w:cs="Arial"/>
          <w:spacing w:val="-17"/>
          <w:sz w:val="21"/>
          <w:szCs w:val="21"/>
        </w:rPr>
        <w:t xml:space="preserve"> </w:t>
      </w:r>
      <w:r>
        <w:rPr>
          <w:rFonts w:ascii="Arial" w:hAnsi="Arial" w:cs="Arial"/>
          <w:sz w:val="21"/>
          <w:szCs w:val="21"/>
        </w:rPr>
        <w:t>Te</w:t>
      </w:r>
      <w:r>
        <w:rPr>
          <w:rFonts w:ascii="Arial" w:hAnsi="Arial" w:cs="Arial"/>
          <w:sz w:val="21"/>
          <w:szCs w:val="21"/>
        </w:rPr>
        <w:t>rm.</w:t>
      </w:r>
    </w:p>
    <w:p w:rsidR="00000000" w:rsidRDefault="003B1894">
      <w:pPr>
        <w:pStyle w:val="BodyText"/>
        <w:kinsoku w:val="0"/>
        <w:overflowPunct w:val="0"/>
        <w:spacing w:before="11"/>
        <w:ind w:left="0"/>
        <w:rPr>
          <w:sz w:val="20"/>
          <w:szCs w:val="20"/>
        </w:rPr>
      </w:pPr>
    </w:p>
    <w:p w:rsidR="00000000" w:rsidRDefault="003B1894">
      <w:pPr>
        <w:pStyle w:val="ListParagraph"/>
        <w:numPr>
          <w:ilvl w:val="1"/>
          <w:numId w:val="1"/>
        </w:numPr>
        <w:tabs>
          <w:tab w:val="left" w:pos="1289"/>
        </w:tabs>
        <w:kinsoku w:val="0"/>
        <w:overflowPunct w:val="0"/>
        <w:ind w:left="1288" w:right="122" w:hanging="631"/>
        <w:jc w:val="both"/>
        <w:rPr>
          <w:rFonts w:ascii="Arial" w:hAnsi="Arial" w:cs="Arial"/>
          <w:color w:val="000000"/>
          <w:sz w:val="21"/>
          <w:szCs w:val="21"/>
        </w:rPr>
      </w:pPr>
      <w:r>
        <w:rPr>
          <w:rFonts w:ascii="Arial" w:hAnsi="Arial" w:cs="Arial"/>
          <w:sz w:val="21"/>
          <w:szCs w:val="21"/>
        </w:rPr>
        <w:t>The fifty percent (50%) Net Operating Profit payment to AAB will be on a monthly basis  and shall be payable by AAX to AAB within seven (7) days of the date of receipt of the invoice.</w:t>
      </w:r>
    </w:p>
    <w:p w:rsidR="00000000" w:rsidRDefault="003B1894">
      <w:pPr>
        <w:pStyle w:val="ListParagraph"/>
        <w:numPr>
          <w:ilvl w:val="1"/>
          <w:numId w:val="1"/>
        </w:numPr>
        <w:tabs>
          <w:tab w:val="left" w:pos="1289"/>
        </w:tabs>
        <w:kinsoku w:val="0"/>
        <w:overflowPunct w:val="0"/>
        <w:ind w:left="1288" w:right="122" w:hanging="631"/>
        <w:jc w:val="both"/>
        <w:rPr>
          <w:rFonts w:ascii="Arial" w:hAnsi="Arial" w:cs="Arial"/>
          <w:color w:val="000000"/>
          <w:sz w:val="21"/>
          <w:szCs w:val="21"/>
        </w:rPr>
        <w:sectPr w:rsidR="00000000">
          <w:footerReference w:type="default" r:id="rId7"/>
          <w:pgSz w:w="12240" w:h="15840"/>
          <w:pgMar w:top="840" w:right="1200" w:bottom="1180" w:left="1160" w:header="0" w:footer="999" w:gutter="0"/>
          <w:pgNumType w:start="1"/>
          <w:cols w:space="720"/>
          <w:noEndnote/>
        </w:sectPr>
      </w:pPr>
    </w:p>
    <w:p w:rsidR="00000000" w:rsidRDefault="003B1894">
      <w:pPr>
        <w:pStyle w:val="ListParagraph"/>
        <w:numPr>
          <w:ilvl w:val="1"/>
          <w:numId w:val="1"/>
        </w:numPr>
        <w:tabs>
          <w:tab w:val="left" w:pos="1289"/>
        </w:tabs>
        <w:kinsoku w:val="0"/>
        <w:overflowPunct w:val="0"/>
        <w:spacing w:before="60"/>
        <w:ind w:left="1288" w:right="128" w:hanging="631"/>
        <w:jc w:val="both"/>
        <w:rPr>
          <w:rFonts w:ascii="Arial" w:hAnsi="Arial" w:cs="Arial"/>
          <w:color w:val="000000"/>
          <w:sz w:val="21"/>
          <w:szCs w:val="21"/>
        </w:rPr>
      </w:pPr>
      <w:r>
        <w:rPr>
          <w:rFonts w:ascii="Arial" w:hAnsi="Arial" w:cs="Arial"/>
          <w:sz w:val="21"/>
          <w:szCs w:val="21"/>
        </w:rPr>
        <w:lastRenderedPageBreak/>
        <w:t>AAX shall return to AAB the following after r</w:t>
      </w:r>
      <w:r>
        <w:rPr>
          <w:rFonts w:ascii="Arial" w:hAnsi="Arial" w:cs="Arial"/>
          <w:sz w:val="21"/>
          <w:szCs w:val="21"/>
        </w:rPr>
        <w:t>eceiving such relevant incentive or rebate from Changi</w:t>
      </w:r>
      <w:r>
        <w:rPr>
          <w:rFonts w:ascii="Arial" w:hAnsi="Arial" w:cs="Arial"/>
          <w:spacing w:val="-4"/>
          <w:sz w:val="21"/>
          <w:szCs w:val="21"/>
        </w:rPr>
        <w:t xml:space="preserve"> </w:t>
      </w:r>
      <w:r>
        <w:rPr>
          <w:rFonts w:ascii="Arial" w:hAnsi="Arial" w:cs="Arial"/>
          <w:sz w:val="21"/>
          <w:szCs w:val="21"/>
        </w:rPr>
        <w:t>Airport:</w:t>
      </w:r>
    </w:p>
    <w:p w:rsidR="00000000" w:rsidRDefault="003B1894">
      <w:pPr>
        <w:pStyle w:val="ListParagraph"/>
        <w:numPr>
          <w:ilvl w:val="2"/>
          <w:numId w:val="1"/>
        </w:numPr>
        <w:tabs>
          <w:tab w:val="left" w:pos="1819"/>
        </w:tabs>
        <w:kinsoku w:val="0"/>
        <w:overflowPunct w:val="0"/>
        <w:spacing w:before="1"/>
        <w:ind w:right="121" w:hanging="568"/>
        <w:rPr>
          <w:rFonts w:ascii="Arial" w:hAnsi="Arial" w:cs="Arial"/>
          <w:sz w:val="21"/>
          <w:szCs w:val="21"/>
        </w:rPr>
      </w:pPr>
      <w:r>
        <w:rPr>
          <w:rFonts w:ascii="Arial" w:hAnsi="Arial" w:cs="Arial"/>
          <w:sz w:val="21"/>
          <w:szCs w:val="21"/>
        </w:rPr>
        <w:t>all incentive or rebate, that AAX may receive from Changi Airport, in relation to the released slots and/or the KUL-SIN Route accrued prior to the effective date;</w:t>
      </w:r>
      <w:r>
        <w:rPr>
          <w:rFonts w:ascii="Arial" w:hAnsi="Arial" w:cs="Arial"/>
          <w:spacing w:val="-15"/>
          <w:sz w:val="21"/>
          <w:szCs w:val="21"/>
        </w:rPr>
        <w:t xml:space="preserve"> </w:t>
      </w:r>
      <w:r>
        <w:rPr>
          <w:rFonts w:ascii="Arial" w:hAnsi="Arial" w:cs="Arial"/>
          <w:sz w:val="21"/>
          <w:szCs w:val="21"/>
        </w:rPr>
        <w:t>and</w:t>
      </w:r>
    </w:p>
    <w:p w:rsidR="00000000" w:rsidRDefault="003B1894">
      <w:pPr>
        <w:pStyle w:val="ListParagraph"/>
        <w:numPr>
          <w:ilvl w:val="2"/>
          <w:numId w:val="1"/>
        </w:numPr>
        <w:tabs>
          <w:tab w:val="left" w:pos="1819"/>
        </w:tabs>
        <w:kinsoku w:val="0"/>
        <w:overflowPunct w:val="0"/>
        <w:spacing w:before="1"/>
        <w:ind w:right="124" w:hanging="568"/>
        <w:rPr>
          <w:rFonts w:ascii="Arial" w:hAnsi="Arial" w:cs="Arial"/>
          <w:sz w:val="21"/>
          <w:szCs w:val="21"/>
        </w:rPr>
      </w:pPr>
      <w:r>
        <w:rPr>
          <w:rFonts w:ascii="Arial" w:hAnsi="Arial" w:cs="Arial"/>
          <w:sz w:val="21"/>
          <w:szCs w:val="21"/>
        </w:rPr>
        <w:t>fifty percent (50%) of any incentive or rebate that AAX may receive from Changi Airport, in relation to the KUL-SIN Route accrued during the</w:t>
      </w:r>
      <w:r>
        <w:rPr>
          <w:rFonts w:ascii="Arial" w:hAnsi="Arial" w:cs="Arial"/>
          <w:spacing w:val="-18"/>
          <w:sz w:val="21"/>
          <w:szCs w:val="21"/>
        </w:rPr>
        <w:t xml:space="preserve"> </w:t>
      </w:r>
      <w:r>
        <w:rPr>
          <w:rFonts w:ascii="Arial" w:hAnsi="Arial" w:cs="Arial"/>
          <w:sz w:val="21"/>
          <w:szCs w:val="21"/>
        </w:rPr>
        <w:t>Term.</w:t>
      </w:r>
    </w:p>
    <w:p w:rsidR="00000000" w:rsidRDefault="003B1894">
      <w:pPr>
        <w:pStyle w:val="BodyText"/>
        <w:kinsoku w:val="0"/>
        <w:overflowPunct w:val="0"/>
        <w:spacing w:before="11"/>
        <w:ind w:left="0"/>
        <w:rPr>
          <w:sz w:val="20"/>
          <w:szCs w:val="20"/>
        </w:rPr>
      </w:pPr>
    </w:p>
    <w:p w:rsidR="00000000" w:rsidRDefault="003B1894">
      <w:pPr>
        <w:pStyle w:val="ListParagraph"/>
        <w:numPr>
          <w:ilvl w:val="1"/>
          <w:numId w:val="1"/>
        </w:numPr>
        <w:tabs>
          <w:tab w:val="left" w:pos="1289"/>
        </w:tabs>
        <w:kinsoku w:val="0"/>
        <w:overflowPunct w:val="0"/>
        <w:ind w:left="1288" w:right="120" w:hanging="631"/>
        <w:jc w:val="both"/>
        <w:rPr>
          <w:rFonts w:ascii="Arial" w:hAnsi="Arial" w:cs="Arial"/>
          <w:color w:val="000000"/>
          <w:sz w:val="21"/>
          <w:szCs w:val="21"/>
        </w:rPr>
      </w:pPr>
      <w:r>
        <w:rPr>
          <w:rFonts w:ascii="Arial" w:hAnsi="Arial" w:cs="Arial"/>
          <w:sz w:val="21"/>
          <w:szCs w:val="21"/>
        </w:rPr>
        <w:t>The Agreement shall be governed by the laws of Malaysia and the mode of dispute resolution will be the courts in Kuala</w:t>
      </w:r>
      <w:r>
        <w:rPr>
          <w:rFonts w:ascii="Arial" w:hAnsi="Arial" w:cs="Arial"/>
          <w:spacing w:val="-13"/>
          <w:sz w:val="21"/>
          <w:szCs w:val="21"/>
        </w:rPr>
        <w:t xml:space="preserve"> </w:t>
      </w:r>
      <w:r>
        <w:rPr>
          <w:rFonts w:ascii="Arial" w:hAnsi="Arial" w:cs="Arial"/>
          <w:sz w:val="21"/>
          <w:szCs w:val="21"/>
        </w:rPr>
        <w:t>Lumpur.</w:t>
      </w:r>
    </w:p>
    <w:p w:rsidR="00000000" w:rsidRDefault="003B1894">
      <w:pPr>
        <w:pStyle w:val="BodyText"/>
        <w:kinsoku w:val="0"/>
        <w:overflowPunct w:val="0"/>
        <w:spacing w:before="11"/>
        <w:ind w:left="0"/>
        <w:rPr>
          <w:sz w:val="20"/>
          <w:szCs w:val="20"/>
        </w:rPr>
      </w:pPr>
    </w:p>
    <w:p w:rsidR="00000000" w:rsidRDefault="003B1894">
      <w:pPr>
        <w:pStyle w:val="Heading1"/>
        <w:numPr>
          <w:ilvl w:val="0"/>
          <w:numId w:val="1"/>
        </w:numPr>
        <w:tabs>
          <w:tab w:val="left" w:pos="684"/>
        </w:tabs>
        <w:kinsoku w:val="0"/>
        <w:overflowPunct w:val="0"/>
        <w:rPr>
          <w:b w:val="0"/>
          <w:bCs w:val="0"/>
        </w:rPr>
      </w:pPr>
      <w:r>
        <w:t>Effects of the</w:t>
      </w:r>
      <w:r>
        <w:rPr>
          <w:spacing w:val="-3"/>
        </w:rPr>
        <w:t xml:space="preserve"> </w:t>
      </w:r>
      <w:r>
        <w:t>Agreement</w:t>
      </w:r>
    </w:p>
    <w:p w:rsidR="00000000" w:rsidRDefault="003B1894">
      <w:pPr>
        <w:pStyle w:val="BodyText"/>
        <w:kinsoku w:val="0"/>
        <w:overflowPunct w:val="0"/>
        <w:spacing w:before="9"/>
        <w:ind w:left="0"/>
        <w:rPr>
          <w:b/>
          <w:bCs/>
          <w:sz w:val="20"/>
          <w:szCs w:val="20"/>
        </w:rPr>
      </w:pPr>
    </w:p>
    <w:p w:rsidR="00000000" w:rsidRDefault="003B1894">
      <w:pPr>
        <w:pStyle w:val="BodyText"/>
        <w:kinsoku w:val="0"/>
        <w:overflowPunct w:val="0"/>
        <w:ind w:right="117"/>
        <w:jc w:val="both"/>
      </w:pPr>
      <w:r>
        <w:t>The Agreement will not have any material financial impact on the Company and/or its subsidiaries (“</w:t>
      </w:r>
      <w:r>
        <w:rPr>
          <w:b/>
          <w:bCs/>
        </w:rPr>
        <w:t>Gro</w:t>
      </w:r>
      <w:r>
        <w:rPr>
          <w:b/>
          <w:bCs/>
        </w:rPr>
        <w:t>up</w:t>
      </w:r>
      <w:r>
        <w:t>”) in the financial years ending 31 December 2019 and 31 December 2020 nor will it have any effect on the share capital and substantial shareholders’ shareholdings of AAX. It is also not expected to have a material effect on the net assets per share, ear</w:t>
      </w:r>
      <w:r>
        <w:t>nings per share and gearing of the Group for the financial years ending 31 December 2019 and 31 December</w:t>
      </w:r>
      <w:r>
        <w:rPr>
          <w:spacing w:val="-16"/>
        </w:rPr>
        <w:t xml:space="preserve"> </w:t>
      </w:r>
      <w:r>
        <w:t>2020.</w:t>
      </w:r>
    </w:p>
    <w:p w:rsidR="00000000" w:rsidRDefault="003B1894">
      <w:pPr>
        <w:pStyle w:val="BodyText"/>
        <w:kinsoku w:val="0"/>
        <w:overflowPunct w:val="0"/>
        <w:spacing w:before="3"/>
        <w:ind w:left="0"/>
      </w:pPr>
    </w:p>
    <w:p w:rsidR="00000000" w:rsidRDefault="003B1894">
      <w:pPr>
        <w:pStyle w:val="Heading1"/>
        <w:numPr>
          <w:ilvl w:val="0"/>
          <w:numId w:val="1"/>
        </w:numPr>
        <w:tabs>
          <w:tab w:val="left" w:pos="684"/>
        </w:tabs>
        <w:kinsoku w:val="0"/>
        <w:overflowPunct w:val="0"/>
        <w:rPr>
          <w:b w:val="0"/>
          <w:bCs w:val="0"/>
        </w:rPr>
      </w:pPr>
      <w:r>
        <w:t>Basis of Arriving at and Justification for the</w:t>
      </w:r>
      <w:r>
        <w:rPr>
          <w:spacing w:val="-13"/>
        </w:rPr>
        <w:t xml:space="preserve"> </w:t>
      </w:r>
      <w:r>
        <w:t>Consideration</w:t>
      </w:r>
    </w:p>
    <w:p w:rsidR="00000000" w:rsidRDefault="003B1894">
      <w:pPr>
        <w:pStyle w:val="BodyText"/>
        <w:kinsoku w:val="0"/>
        <w:overflowPunct w:val="0"/>
        <w:spacing w:before="9"/>
        <w:ind w:left="0"/>
        <w:rPr>
          <w:b/>
          <w:bCs/>
          <w:sz w:val="20"/>
          <w:szCs w:val="20"/>
        </w:rPr>
      </w:pPr>
    </w:p>
    <w:p w:rsidR="00000000" w:rsidRDefault="003B1894">
      <w:pPr>
        <w:pStyle w:val="BodyText"/>
        <w:kinsoku w:val="0"/>
        <w:overflowPunct w:val="0"/>
        <w:ind w:left="657" w:right="147"/>
        <w:jc w:val="both"/>
      </w:pPr>
      <w:r>
        <w:t>The Airport Slots acquired by AAX is rated as AAB’</w:t>
      </w:r>
      <w:r>
        <w:t>s most profitable route with high load factors in the previous years. Further, the 14x weekly flights as per the flight schedule will also contribute to increase fly-thru seats availability and the load factor especially into and from India, China, Korea a</w:t>
      </w:r>
      <w:r>
        <w:t>nd Japan markets. In exchange for the Airport Slots, both parties have mutually agreed to share the Net Operating Profit on a 50-50 basis. The Net Operating Profit was derived by calculating the total ticket revenue plus total ancillary revenue plus any ot</w:t>
      </w:r>
      <w:r>
        <w:t>her income received in connection with the KUL-SIN Route minus total cost of sales, operating expenses and any other expenses incurred in connection with the KUL-SIN</w:t>
      </w:r>
      <w:r>
        <w:rPr>
          <w:spacing w:val="-12"/>
        </w:rPr>
        <w:t xml:space="preserve"> </w:t>
      </w:r>
      <w:r>
        <w:t>Route.</w:t>
      </w:r>
    </w:p>
    <w:p w:rsidR="00000000" w:rsidRDefault="003B1894">
      <w:pPr>
        <w:pStyle w:val="BodyText"/>
        <w:kinsoku w:val="0"/>
        <w:overflowPunct w:val="0"/>
        <w:spacing w:before="11"/>
        <w:ind w:left="0"/>
        <w:rPr>
          <w:sz w:val="20"/>
          <w:szCs w:val="20"/>
        </w:rPr>
      </w:pPr>
    </w:p>
    <w:p w:rsidR="00000000" w:rsidRDefault="003B1894">
      <w:pPr>
        <w:pStyle w:val="Heading1"/>
        <w:numPr>
          <w:ilvl w:val="0"/>
          <w:numId w:val="1"/>
        </w:numPr>
        <w:tabs>
          <w:tab w:val="left" w:pos="684"/>
        </w:tabs>
        <w:kinsoku w:val="0"/>
        <w:overflowPunct w:val="0"/>
        <w:rPr>
          <w:b w:val="0"/>
          <w:bCs w:val="0"/>
        </w:rPr>
      </w:pPr>
      <w:r>
        <w:t>Risks</w:t>
      </w:r>
      <w:r>
        <w:rPr>
          <w:spacing w:val="-2"/>
        </w:rPr>
        <w:t xml:space="preserve"> </w:t>
      </w:r>
      <w:r>
        <w:t>Factor</w:t>
      </w:r>
    </w:p>
    <w:p w:rsidR="00000000" w:rsidRDefault="003B1894">
      <w:pPr>
        <w:pStyle w:val="BodyText"/>
        <w:kinsoku w:val="0"/>
        <w:overflowPunct w:val="0"/>
        <w:spacing w:before="9"/>
        <w:ind w:left="0"/>
        <w:rPr>
          <w:b/>
          <w:bCs/>
          <w:sz w:val="20"/>
          <w:szCs w:val="20"/>
        </w:rPr>
      </w:pPr>
    </w:p>
    <w:p w:rsidR="00000000" w:rsidRDefault="003B1894">
      <w:pPr>
        <w:pStyle w:val="BodyText"/>
        <w:kinsoku w:val="0"/>
        <w:overflowPunct w:val="0"/>
        <w:ind w:right="119"/>
        <w:jc w:val="both"/>
      </w:pPr>
      <w:r>
        <w:t>The financial risks associated with the Agreement are expected to be</w:t>
      </w:r>
      <w:r>
        <w:t xml:space="preserve"> minimal as the forecast reflects profitability for 11 out of 12 months considering sales lead time, seasonality and historical performance by</w:t>
      </w:r>
      <w:r>
        <w:rPr>
          <w:spacing w:val="-3"/>
        </w:rPr>
        <w:t xml:space="preserve"> </w:t>
      </w:r>
      <w:r>
        <w:t>AAB.</w:t>
      </w:r>
    </w:p>
    <w:p w:rsidR="00000000" w:rsidRDefault="003B1894">
      <w:pPr>
        <w:pStyle w:val="BodyText"/>
        <w:kinsoku w:val="0"/>
        <w:overflowPunct w:val="0"/>
        <w:spacing w:before="11"/>
        <w:ind w:left="0"/>
        <w:rPr>
          <w:sz w:val="20"/>
          <w:szCs w:val="20"/>
        </w:rPr>
      </w:pPr>
    </w:p>
    <w:p w:rsidR="00000000" w:rsidRDefault="003B1894">
      <w:pPr>
        <w:pStyle w:val="Heading1"/>
        <w:numPr>
          <w:ilvl w:val="0"/>
          <w:numId w:val="1"/>
        </w:numPr>
        <w:tabs>
          <w:tab w:val="left" w:pos="684"/>
        </w:tabs>
        <w:kinsoku w:val="0"/>
        <w:overflowPunct w:val="0"/>
        <w:rPr>
          <w:b w:val="0"/>
          <w:bCs w:val="0"/>
        </w:rPr>
      </w:pPr>
      <w:r>
        <w:t>Rationale and Benefits of the</w:t>
      </w:r>
      <w:r>
        <w:rPr>
          <w:spacing w:val="-11"/>
        </w:rPr>
        <w:t xml:space="preserve"> </w:t>
      </w:r>
      <w:r>
        <w:t>Transaction</w:t>
      </w:r>
    </w:p>
    <w:p w:rsidR="00000000" w:rsidRDefault="003B1894">
      <w:pPr>
        <w:pStyle w:val="BodyText"/>
        <w:kinsoku w:val="0"/>
        <w:overflowPunct w:val="0"/>
        <w:spacing w:before="9"/>
        <w:ind w:left="0"/>
        <w:rPr>
          <w:b/>
          <w:bCs/>
          <w:sz w:val="20"/>
          <w:szCs w:val="20"/>
        </w:rPr>
      </w:pPr>
    </w:p>
    <w:p w:rsidR="00000000" w:rsidRDefault="003B1894">
      <w:pPr>
        <w:pStyle w:val="ListParagraph"/>
        <w:numPr>
          <w:ilvl w:val="1"/>
          <w:numId w:val="1"/>
        </w:numPr>
        <w:tabs>
          <w:tab w:val="left" w:pos="1289"/>
        </w:tabs>
        <w:kinsoku w:val="0"/>
        <w:overflowPunct w:val="0"/>
        <w:ind w:left="1288" w:right="121" w:hanging="631"/>
        <w:jc w:val="both"/>
        <w:rPr>
          <w:rFonts w:ascii="Arial" w:hAnsi="Arial" w:cs="Arial"/>
          <w:color w:val="000000"/>
          <w:sz w:val="21"/>
          <w:szCs w:val="21"/>
        </w:rPr>
      </w:pPr>
      <w:r>
        <w:rPr>
          <w:rFonts w:ascii="Arial" w:hAnsi="Arial" w:cs="Arial"/>
          <w:sz w:val="21"/>
          <w:szCs w:val="21"/>
        </w:rPr>
        <w:t>The Transaction will introduce a strategic growth for AAX in a s</w:t>
      </w:r>
      <w:r>
        <w:rPr>
          <w:rFonts w:ascii="Arial" w:hAnsi="Arial" w:cs="Arial"/>
          <w:sz w:val="21"/>
          <w:szCs w:val="21"/>
        </w:rPr>
        <w:t>lot constrained airport and maximize the Company’s aircraft utilization, and in the meantime to generate revenue which can minimize the existing sunk</w:t>
      </w:r>
      <w:r>
        <w:rPr>
          <w:rFonts w:ascii="Arial" w:hAnsi="Arial" w:cs="Arial"/>
          <w:spacing w:val="-14"/>
          <w:sz w:val="21"/>
          <w:szCs w:val="21"/>
        </w:rPr>
        <w:t xml:space="preserve"> </w:t>
      </w:r>
      <w:r>
        <w:rPr>
          <w:rFonts w:ascii="Arial" w:hAnsi="Arial" w:cs="Arial"/>
          <w:sz w:val="21"/>
          <w:szCs w:val="21"/>
        </w:rPr>
        <w:t>cost.</w:t>
      </w:r>
    </w:p>
    <w:p w:rsidR="00000000" w:rsidRDefault="003B1894">
      <w:pPr>
        <w:pStyle w:val="BodyText"/>
        <w:kinsoku w:val="0"/>
        <w:overflowPunct w:val="0"/>
        <w:spacing w:before="2"/>
        <w:ind w:left="0"/>
      </w:pPr>
    </w:p>
    <w:p w:rsidR="00000000" w:rsidRDefault="003B1894">
      <w:pPr>
        <w:pStyle w:val="ListParagraph"/>
        <w:numPr>
          <w:ilvl w:val="1"/>
          <w:numId w:val="1"/>
        </w:numPr>
        <w:tabs>
          <w:tab w:val="left" w:pos="1289"/>
        </w:tabs>
        <w:kinsoku w:val="0"/>
        <w:overflowPunct w:val="0"/>
        <w:ind w:left="1288" w:right="117" w:hanging="631"/>
        <w:jc w:val="both"/>
        <w:rPr>
          <w:rFonts w:ascii="Arial" w:hAnsi="Arial" w:cs="Arial"/>
          <w:color w:val="000000"/>
          <w:sz w:val="21"/>
          <w:szCs w:val="21"/>
        </w:rPr>
      </w:pPr>
      <w:r>
        <w:rPr>
          <w:rFonts w:ascii="Arial" w:hAnsi="Arial" w:cs="Arial"/>
          <w:sz w:val="21"/>
          <w:szCs w:val="21"/>
        </w:rPr>
        <w:t>Allocated aircraft time for KUL-SIN-KUL schedule are between 08:00 am to 16:00 pm of which the airc</w:t>
      </w:r>
      <w:r>
        <w:rPr>
          <w:rFonts w:ascii="Arial" w:hAnsi="Arial" w:cs="Arial"/>
          <w:sz w:val="21"/>
          <w:szCs w:val="21"/>
        </w:rPr>
        <w:t>raft will be on ground and can't be used to operate long haul routes. Transaction will therefore be able to utilize small pockets of unutilised aircraft time and generate additional revenue with the capacity of three hundred and seventy-seven (377) seats p</w:t>
      </w:r>
      <w:r>
        <w:rPr>
          <w:rFonts w:ascii="Arial" w:hAnsi="Arial" w:cs="Arial"/>
          <w:sz w:val="21"/>
          <w:szCs w:val="21"/>
        </w:rPr>
        <w:t xml:space="preserve">er aircraft. Therefore, the commencement of this new route between Kuala Lumpur and Singapore will increase: (a) average aircraft utilization by 0.2 hours; and </w:t>
      </w:r>
      <w:r>
        <w:rPr>
          <w:rFonts w:ascii="Arial" w:hAnsi="Arial" w:cs="Arial"/>
          <w:spacing w:val="-3"/>
          <w:sz w:val="21"/>
          <w:szCs w:val="21"/>
        </w:rPr>
        <w:t>(b)</w:t>
      </w:r>
      <w:r>
        <w:rPr>
          <w:rFonts w:ascii="Arial" w:hAnsi="Arial" w:cs="Arial"/>
          <w:spacing w:val="52"/>
          <w:sz w:val="21"/>
          <w:szCs w:val="21"/>
        </w:rPr>
        <w:t xml:space="preserve"> </w:t>
      </w:r>
      <w:r>
        <w:rPr>
          <w:rFonts w:ascii="Arial" w:hAnsi="Arial" w:cs="Arial"/>
          <w:sz w:val="21"/>
          <w:szCs w:val="21"/>
        </w:rPr>
        <w:t>connectivity to Singapore based on its route performance and network planning independent of</w:t>
      </w:r>
      <w:r>
        <w:rPr>
          <w:rFonts w:ascii="Arial" w:hAnsi="Arial" w:cs="Arial"/>
          <w:spacing w:val="-3"/>
          <w:sz w:val="21"/>
          <w:szCs w:val="21"/>
        </w:rPr>
        <w:t xml:space="preserve"> </w:t>
      </w:r>
      <w:r>
        <w:rPr>
          <w:rFonts w:ascii="Arial" w:hAnsi="Arial" w:cs="Arial"/>
          <w:sz w:val="21"/>
          <w:szCs w:val="21"/>
        </w:rPr>
        <w:t>AAB.</w:t>
      </w:r>
    </w:p>
    <w:p w:rsidR="00000000" w:rsidRDefault="003B1894">
      <w:pPr>
        <w:pStyle w:val="BodyText"/>
        <w:kinsoku w:val="0"/>
        <w:overflowPunct w:val="0"/>
        <w:spacing w:before="11"/>
        <w:ind w:left="0"/>
        <w:rPr>
          <w:sz w:val="20"/>
          <w:szCs w:val="20"/>
        </w:rPr>
      </w:pPr>
    </w:p>
    <w:p w:rsidR="00000000" w:rsidRDefault="003B1894">
      <w:pPr>
        <w:pStyle w:val="ListParagraph"/>
        <w:numPr>
          <w:ilvl w:val="1"/>
          <w:numId w:val="1"/>
        </w:numPr>
        <w:tabs>
          <w:tab w:val="left" w:pos="1289"/>
        </w:tabs>
        <w:kinsoku w:val="0"/>
        <w:overflowPunct w:val="0"/>
        <w:ind w:left="1288" w:right="117" w:hanging="631"/>
        <w:jc w:val="both"/>
        <w:rPr>
          <w:rFonts w:ascii="Arial" w:hAnsi="Arial" w:cs="Arial"/>
          <w:color w:val="000000"/>
          <w:sz w:val="21"/>
          <w:szCs w:val="21"/>
        </w:rPr>
      </w:pPr>
      <w:r>
        <w:rPr>
          <w:rFonts w:ascii="Arial" w:hAnsi="Arial" w:cs="Arial"/>
          <w:sz w:val="21"/>
          <w:szCs w:val="21"/>
        </w:rPr>
        <w:t>Further, there are potentials to increase the number of fly-thru passengers into Singapore from core markets e.g. China, India, Japan and Korea, where currently AAX is only  carrying 1% from the total industry passengers from these marke</w:t>
      </w:r>
      <w:r>
        <w:rPr>
          <w:rFonts w:ascii="Arial" w:hAnsi="Arial" w:cs="Arial"/>
          <w:sz w:val="21"/>
          <w:szCs w:val="21"/>
        </w:rPr>
        <w:t xml:space="preserve">ts. This is due to lack of capacity and very strong demand on point to point where not enough seats left for fly-thru passengers.   Subsequently,   by   increasing   the   number   of   fly-thru   passengers </w:t>
      </w:r>
      <w:r>
        <w:rPr>
          <w:rFonts w:ascii="Arial" w:hAnsi="Arial" w:cs="Arial"/>
          <w:spacing w:val="36"/>
          <w:sz w:val="21"/>
          <w:szCs w:val="21"/>
        </w:rPr>
        <w:t xml:space="preserve"> </w:t>
      </w:r>
      <w:r>
        <w:rPr>
          <w:rFonts w:ascii="Arial" w:hAnsi="Arial" w:cs="Arial"/>
          <w:sz w:val="21"/>
          <w:szCs w:val="21"/>
        </w:rPr>
        <w:t>into</w:t>
      </w:r>
    </w:p>
    <w:p w:rsidR="00000000" w:rsidRDefault="003B1894">
      <w:pPr>
        <w:pStyle w:val="ListParagraph"/>
        <w:numPr>
          <w:ilvl w:val="1"/>
          <w:numId w:val="1"/>
        </w:numPr>
        <w:tabs>
          <w:tab w:val="left" w:pos="1289"/>
        </w:tabs>
        <w:kinsoku w:val="0"/>
        <w:overflowPunct w:val="0"/>
        <w:ind w:left="1288" w:right="117" w:hanging="631"/>
        <w:jc w:val="both"/>
        <w:rPr>
          <w:rFonts w:ascii="Arial" w:hAnsi="Arial" w:cs="Arial"/>
          <w:color w:val="000000"/>
          <w:sz w:val="21"/>
          <w:szCs w:val="21"/>
        </w:rPr>
        <w:sectPr w:rsidR="00000000">
          <w:pgSz w:w="12240" w:h="15840"/>
          <w:pgMar w:top="840" w:right="1200" w:bottom="1180" w:left="1160" w:header="0" w:footer="999" w:gutter="0"/>
          <w:cols w:space="720"/>
          <w:noEndnote/>
        </w:sectPr>
      </w:pPr>
    </w:p>
    <w:p w:rsidR="00000000" w:rsidRDefault="003B1894">
      <w:pPr>
        <w:pStyle w:val="BodyText"/>
        <w:kinsoku w:val="0"/>
        <w:overflowPunct w:val="0"/>
        <w:spacing w:before="60"/>
        <w:ind w:left="1288" w:right="119"/>
      </w:pPr>
      <w:r>
        <w:lastRenderedPageBreak/>
        <w:t>Singapore, it is also expected to contribute to the load factor for the flights from these markets.</w:t>
      </w:r>
    </w:p>
    <w:p w:rsidR="00000000" w:rsidRDefault="003B1894">
      <w:pPr>
        <w:pStyle w:val="BodyText"/>
        <w:kinsoku w:val="0"/>
        <w:overflowPunct w:val="0"/>
        <w:spacing w:before="11"/>
        <w:ind w:left="0"/>
        <w:rPr>
          <w:sz w:val="20"/>
          <w:szCs w:val="20"/>
        </w:rPr>
      </w:pPr>
    </w:p>
    <w:p w:rsidR="00000000" w:rsidRDefault="003B1894">
      <w:pPr>
        <w:pStyle w:val="ListParagraph"/>
        <w:numPr>
          <w:ilvl w:val="1"/>
          <w:numId w:val="1"/>
        </w:numPr>
        <w:tabs>
          <w:tab w:val="left" w:pos="1289"/>
        </w:tabs>
        <w:kinsoku w:val="0"/>
        <w:overflowPunct w:val="0"/>
        <w:ind w:left="1288" w:right="368" w:hanging="631"/>
        <w:jc w:val="both"/>
        <w:rPr>
          <w:rFonts w:ascii="Arial" w:hAnsi="Arial" w:cs="Arial"/>
          <w:color w:val="000000"/>
          <w:sz w:val="21"/>
          <w:szCs w:val="21"/>
        </w:rPr>
      </w:pPr>
      <w:r>
        <w:rPr>
          <w:rFonts w:ascii="Arial" w:hAnsi="Arial" w:cs="Arial"/>
          <w:sz w:val="21"/>
          <w:szCs w:val="21"/>
        </w:rPr>
        <w:t>Based on the one (1) year projected forecast, the Transaction will generate an estimated amount of MYR 2,420,853.00 in profit, taking into account the oper</w:t>
      </w:r>
      <w:r>
        <w:rPr>
          <w:rFonts w:ascii="Arial" w:hAnsi="Arial" w:cs="Arial"/>
          <w:sz w:val="21"/>
          <w:szCs w:val="21"/>
        </w:rPr>
        <w:t>ational cost and other costs.</w:t>
      </w:r>
    </w:p>
    <w:p w:rsidR="00000000" w:rsidRDefault="003B1894">
      <w:pPr>
        <w:pStyle w:val="BodyText"/>
        <w:kinsoku w:val="0"/>
        <w:overflowPunct w:val="0"/>
        <w:spacing w:before="11"/>
        <w:ind w:left="0"/>
        <w:rPr>
          <w:sz w:val="20"/>
          <w:szCs w:val="20"/>
        </w:rPr>
      </w:pPr>
    </w:p>
    <w:p w:rsidR="00000000" w:rsidRDefault="003B1894">
      <w:pPr>
        <w:pStyle w:val="Heading1"/>
        <w:numPr>
          <w:ilvl w:val="0"/>
          <w:numId w:val="1"/>
        </w:numPr>
        <w:tabs>
          <w:tab w:val="left" w:pos="684"/>
        </w:tabs>
        <w:kinsoku w:val="0"/>
        <w:overflowPunct w:val="0"/>
        <w:rPr>
          <w:b w:val="0"/>
          <w:bCs w:val="0"/>
        </w:rPr>
      </w:pPr>
      <w:r>
        <w:t>Directors’ and/or Major Shareholders’ Interests and/or Persons Connected to</w:t>
      </w:r>
      <w:r>
        <w:rPr>
          <w:spacing w:val="-15"/>
        </w:rPr>
        <w:t xml:space="preserve"> </w:t>
      </w:r>
      <w:r>
        <w:t>Them</w:t>
      </w:r>
    </w:p>
    <w:p w:rsidR="00000000" w:rsidRDefault="003B1894">
      <w:pPr>
        <w:pStyle w:val="BodyText"/>
        <w:kinsoku w:val="0"/>
        <w:overflowPunct w:val="0"/>
        <w:spacing w:before="9"/>
        <w:ind w:left="0"/>
        <w:rPr>
          <w:b/>
          <w:bCs/>
          <w:sz w:val="20"/>
          <w:szCs w:val="20"/>
        </w:rPr>
      </w:pPr>
    </w:p>
    <w:p w:rsidR="00000000" w:rsidRDefault="003B1894">
      <w:pPr>
        <w:pStyle w:val="ListParagraph"/>
        <w:numPr>
          <w:ilvl w:val="1"/>
          <w:numId w:val="1"/>
        </w:numPr>
        <w:tabs>
          <w:tab w:val="left" w:pos="1250"/>
        </w:tabs>
        <w:kinsoku w:val="0"/>
        <w:overflowPunct w:val="0"/>
        <w:ind w:left="1250" w:right="117" w:hanging="567"/>
        <w:jc w:val="both"/>
        <w:rPr>
          <w:rFonts w:ascii="Arial" w:hAnsi="Arial" w:cs="Arial"/>
          <w:color w:val="000000"/>
          <w:sz w:val="21"/>
          <w:szCs w:val="21"/>
        </w:rPr>
      </w:pPr>
      <w:r>
        <w:rPr>
          <w:rFonts w:ascii="Arial" w:hAnsi="Arial" w:cs="Arial"/>
          <w:sz w:val="21"/>
          <w:szCs w:val="21"/>
        </w:rPr>
        <w:t>Save as disclosed in Section 2.3 above and table below, none of the Directors and Major Shareholders of the Company as well as persons connecte</w:t>
      </w:r>
      <w:r>
        <w:rPr>
          <w:rFonts w:ascii="Arial" w:hAnsi="Arial" w:cs="Arial"/>
          <w:sz w:val="21"/>
          <w:szCs w:val="21"/>
        </w:rPr>
        <w:t>d with them has any interest, direct and/or indirect in the</w:t>
      </w:r>
      <w:r>
        <w:rPr>
          <w:rFonts w:ascii="Arial" w:hAnsi="Arial" w:cs="Arial"/>
          <w:spacing w:val="-8"/>
          <w:sz w:val="21"/>
          <w:szCs w:val="21"/>
        </w:rPr>
        <w:t xml:space="preserve"> </w:t>
      </w:r>
      <w:r>
        <w:rPr>
          <w:rFonts w:ascii="Arial" w:hAnsi="Arial" w:cs="Arial"/>
          <w:sz w:val="21"/>
          <w:szCs w:val="21"/>
        </w:rPr>
        <w:t>Agreement:-</w:t>
      </w:r>
    </w:p>
    <w:p w:rsidR="00000000" w:rsidRDefault="003B1894">
      <w:pPr>
        <w:pStyle w:val="BodyText"/>
        <w:kinsoku w:val="0"/>
        <w:overflowPunct w:val="0"/>
        <w:spacing w:before="2"/>
        <w:ind w:left="0"/>
      </w:pPr>
    </w:p>
    <w:tbl>
      <w:tblPr>
        <w:tblW w:w="0" w:type="auto"/>
        <w:tblInd w:w="1253" w:type="dxa"/>
        <w:tblLayout w:type="fixed"/>
        <w:tblCellMar>
          <w:left w:w="0" w:type="dxa"/>
          <w:right w:w="0" w:type="dxa"/>
        </w:tblCellMar>
        <w:tblLook w:val="0000" w:firstRow="0" w:lastRow="0" w:firstColumn="0" w:lastColumn="0" w:noHBand="0" w:noVBand="0"/>
      </w:tblPr>
      <w:tblGrid>
        <w:gridCol w:w="2441"/>
        <w:gridCol w:w="1531"/>
        <w:gridCol w:w="989"/>
        <w:gridCol w:w="1733"/>
        <w:gridCol w:w="1095"/>
      </w:tblGrid>
      <w:tr w:rsidR="00000000">
        <w:tblPrEx>
          <w:tblCellMar>
            <w:top w:w="0" w:type="dxa"/>
            <w:left w:w="0" w:type="dxa"/>
            <w:bottom w:w="0" w:type="dxa"/>
            <w:right w:w="0" w:type="dxa"/>
          </w:tblCellMar>
        </w:tblPrEx>
        <w:trPr>
          <w:trHeight w:hRule="exact" w:val="252"/>
        </w:trPr>
        <w:tc>
          <w:tcPr>
            <w:tcW w:w="2441" w:type="dxa"/>
            <w:vMerge w:val="restart"/>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rPr>
                <w:rFonts w:ascii="Arial" w:hAnsi="Arial" w:cs="Arial"/>
                <w:sz w:val="20"/>
                <w:szCs w:val="20"/>
              </w:rPr>
            </w:pPr>
          </w:p>
          <w:p w:rsidR="00000000" w:rsidRDefault="003B1894">
            <w:pPr>
              <w:pStyle w:val="TableParagraph"/>
              <w:kinsoku w:val="0"/>
              <w:overflowPunct w:val="0"/>
              <w:spacing w:before="9"/>
              <w:rPr>
                <w:rFonts w:ascii="Arial" w:hAnsi="Arial" w:cs="Arial"/>
                <w:sz w:val="22"/>
                <w:szCs w:val="22"/>
              </w:rPr>
            </w:pPr>
          </w:p>
          <w:p w:rsidR="00000000" w:rsidRDefault="003B1894">
            <w:pPr>
              <w:pStyle w:val="TableParagraph"/>
              <w:kinsoku w:val="0"/>
              <w:overflowPunct w:val="0"/>
              <w:ind w:left="100"/>
            </w:pPr>
            <w:r>
              <w:rPr>
                <w:rFonts w:ascii="Arial" w:hAnsi="Arial" w:cs="Arial"/>
                <w:b/>
                <w:bCs/>
                <w:sz w:val="21"/>
                <w:szCs w:val="21"/>
              </w:rPr>
              <w:t>Directors</w:t>
            </w:r>
          </w:p>
        </w:tc>
        <w:tc>
          <w:tcPr>
            <w:tcW w:w="2520" w:type="dxa"/>
            <w:gridSpan w:val="2"/>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left="2"/>
              <w:jc w:val="center"/>
            </w:pPr>
            <w:r>
              <w:rPr>
                <w:rFonts w:ascii="Arial" w:hAnsi="Arial" w:cs="Arial"/>
                <w:b/>
                <w:bCs/>
                <w:sz w:val="21"/>
                <w:szCs w:val="21"/>
              </w:rPr>
              <w:t>Direct</w:t>
            </w:r>
          </w:p>
        </w:tc>
        <w:tc>
          <w:tcPr>
            <w:tcW w:w="2828" w:type="dxa"/>
            <w:gridSpan w:val="2"/>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left="2"/>
              <w:jc w:val="center"/>
            </w:pPr>
            <w:r>
              <w:rPr>
                <w:rFonts w:ascii="Arial" w:hAnsi="Arial" w:cs="Arial"/>
                <w:b/>
                <w:bCs/>
                <w:sz w:val="21"/>
                <w:szCs w:val="21"/>
              </w:rPr>
              <w:t>Indirect</w:t>
            </w:r>
          </w:p>
        </w:tc>
      </w:tr>
      <w:tr w:rsidR="00000000">
        <w:tblPrEx>
          <w:tblCellMar>
            <w:top w:w="0" w:type="dxa"/>
            <w:left w:w="0" w:type="dxa"/>
            <w:bottom w:w="0" w:type="dxa"/>
            <w:right w:w="0" w:type="dxa"/>
          </w:tblCellMar>
        </w:tblPrEx>
        <w:trPr>
          <w:trHeight w:hRule="exact" w:val="492"/>
        </w:trPr>
        <w:tc>
          <w:tcPr>
            <w:tcW w:w="2441" w:type="dxa"/>
            <w:vMerge/>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left="2"/>
              <w:jc w:val="center"/>
            </w:pPr>
          </w:p>
        </w:tc>
        <w:tc>
          <w:tcPr>
            <w:tcW w:w="1531"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left="407" w:right="408" w:firstLine="52"/>
            </w:pPr>
            <w:r>
              <w:rPr>
                <w:rFonts w:ascii="Arial" w:hAnsi="Arial" w:cs="Arial"/>
                <w:b/>
                <w:bCs/>
                <w:sz w:val="21"/>
                <w:szCs w:val="21"/>
              </w:rPr>
              <w:t>No. of Shares</w:t>
            </w:r>
          </w:p>
        </w:tc>
        <w:tc>
          <w:tcPr>
            <w:tcW w:w="989"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spacing w:line="239" w:lineRule="exact"/>
              <w:jc w:val="center"/>
            </w:pPr>
            <w:r>
              <w:rPr>
                <w:rFonts w:ascii="Arial" w:hAnsi="Arial" w:cs="Arial"/>
                <w:b/>
                <w:bCs/>
                <w:sz w:val="21"/>
                <w:szCs w:val="21"/>
              </w:rPr>
              <w:t>%</w:t>
            </w:r>
          </w:p>
        </w:tc>
        <w:tc>
          <w:tcPr>
            <w:tcW w:w="1733"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spacing w:line="239" w:lineRule="exact"/>
              <w:ind w:left="182"/>
            </w:pPr>
            <w:r>
              <w:rPr>
                <w:rFonts w:ascii="Arial" w:hAnsi="Arial" w:cs="Arial"/>
                <w:b/>
                <w:bCs/>
                <w:sz w:val="21"/>
                <w:szCs w:val="21"/>
              </w:rPr>
              <w:t>No. of</w:t>
            </w:r>
            <w:r>
              <w:rPr>
                <w:rFonts w:ascii="Arial" w:hAnsi="Arial" w:cs="Arial"/>
                <w:b/>
                <w:bCs/>
                <w:spacing w:val="-1"/>
                <w:sz w:val="21"/>
                <w:szCs w:val="21"/>
              </w:rPr>
              <w:t xml:space="preserve"> </w:t>
            </w:r>
            <w:r>
              <w:rPr>
                <w:rFonts w:ascii="Arial" w:hAnsi="Arial" w:cs="Arial"/>
                <w:b/>
                <w:bCs/>
                <w:sz w:val="21"/>
                <w:szCs w:val="21"/>
              </w:rPr>
              <w:t>Shares</w:t>
            </w:r>
          </w:p>
        </w:tc>
        <w:tc>
          <w:tcPr>
            <w:tcW w:w="1095"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spacing w:line="239" w:lineRule="exact"/>
              <w:ind w:right="1"/>
              <w:jc w:val="center"/>
            </w:pPr>
            <w:r>
              <w:rPr>
                <w:rFonts w:ascii="Arial" w:hAnsi="Arial" w:cs="Arial"/>
                <w:b/>
                <w:bCs/>
                <w:sz w:val="21"/>
                <w:szCs w:val="21"/>
              </w:rPr>
              <w:t>%</w:t>
            </w:r>
          </w:p>
        </w:tc>
      </w:tr>
      <w:tr w:rsidR="00000000">
        <w:tblPrEx>
          <w:tblCellMar>
            <w:top w:w="0" w:type="dxa"/>
            <w:left w:w="0" w:type="dxa"/>
            <w:bottom w:w="0" w:type="dxa"/>
            <w:right w:w="0" w:type="dxa"/>
          </w:tblCellMar>
        </w:tblPrEx>
        <w:trPr>
          <w:trHeight w:hRule="exact" w:val="495"/>
        </w:trPr>
        <w:tc>
          <w:tcPr>
            <w:tcW w:w="2441"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left="100" w:right="99"/>
            </w:pPr>
            <w:r>
              <w:rPr>
                <w:rFonts w:ascii="Arial" w:hAnsi="Arial" w:cs="Arial"/>
                <w:sz w:val="21"/>
                <w:szCs w:val="21"/>
              </w:rPr>
              <w:t>Datuk Kamarudin bin Meranun</w:t>
            </w:r>
          </w:p>
        </w:tc>
        <w:tc>
          <w:tcPr>
            <w:tcW w:w="1531"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right="101"/>
              <w:jc w:val="right"/>
            </w:pPr>
            <w:r>
              <w:rPr>
                <w:rFonts w:ascii="Arial" w:hAnsi="Arial" w:cs="Arial"/>
                <w:spacing w:val="-1"/>
                <w:sz w:val="21"/>
                <w:szCs w:val="21"/>
              </w:rPr>
              <w:t>370,709,939</w:t>
            </w:r>
          </w:p>
        </w:tc>
        <w:tc>
          <w:tcPr>
            <w:tcW w:w="989"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right="99"/>
              <w:jc w:val="right"/>
            </w:pPr>
            <w:r>
              <w:rPr>
                <w:rFonts w:ascii="Arial" w:hAnsi="Arial" w:cs="Arial"/>
                <w:spacing w:val="-1"/>
                <w:sz w:val="21"/>
                <w:szCs w:val="21"/>
              </w:rPr>
              <w:t>8.94</w:t>
            </w:r>
          </w:p>
        </w:tc>
        <w:tc>
          <w:tcPr>
            <w:tcW w:w="1733"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spacing w:line="241" w:lineRule="exact"/>
              <w:ind w:right="103"/>
              <w:jc w:val="right"/>
            </w:pPr>
            <w:r>
              <w:rPr>
                <w:rFonts w:ascii="Arial" w:hAnsi="Arial" w:cs="Arial"/>
                <w:spacing w:val="-1"/>
                <w:sz w:val="21"/>
                <w:szCs w:val="21"/>
              </w:rPr>
              <w:t>1,310,331,376</w:t>
            </w:r>
            <w:r>
              <w:rPr>
                <w:rFonts w:ascii="Arial" w:hAnsi="Arial" w:cs="Arial"/>
                <w:spacing w:val="-1"/>
                <w:position w:val="7"/>
                <w:sz w:val="14"/>
                <w:szCs w:val="14"/>
              </w:rPr>
              <w:t>(1)</w:t>
            </w:r>
          </w:p>
        </w:tc>
        <w:tc>
          <w:tcPr>
            <w:tcW w:w="1095"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right="101"/>
              <w:jc w:val="right"/>
            </w:pPr>
            <w:r>
              <w:rPr>
                <w:rFonts w:ascii="Arial" w:hAnsi="Arial" w:cs="Arial"/>
                <w:spacing w:val="-1"/>
                <w:sz w:val="21"/>
                <w:szCs w:val="21"/>
              </w:rPr>
              <w:t>31.59</w:t>
            </w:r>
          </w:p>
        </w:tc>
      </w:tr>
      <w:tr w:rsidR="00000000">
        <w:tblPrEx>
          <w:tblCellMar>
            <w:top w:w="0" w:type="dxa"/>
            <w:left w:w="0" w:type="dxa"/>
            <w:bottom w:w="0" w:type="dxa"/>
            <w:right w:w="0" w:type="dxa"/>
          </w:tblCellMar>
        </w:tblPrEx>
        <w:trPr>
          <w:trHeight w:hRule="exact" w:val="492"/>
        </w:trPr>
        <w:tc>
          <w:tcPr>
            <w:tcW w:w="2441"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tabs>
                <w:tab w:val="left" w:pos="882"/>
                <w:tab w:val="left" w:pos="1556"/>
              </w:tabs>
              <w:kinsoku w:val="0"/>
              <w:overflowPunct w:val="0"/>
              <w:ind w:left="100" w:right="101"/>
            </w:pPr>
            <w:r>
              <w:rPr>
                <w:rFonts w:ascii="Arial" w:hAnsi="Arial" w:cs="Arial"/>
                <w:sz w:val="21"/>
                <w:szCs w:val="21"/>
              </w:rPr>
              <w:t>Tan</w:t>
            </w:r>
            <w:r>
              <w:rPr>
                <w:rFonts w:ascii="Arial" w:hAnsi="Arial" w:cs="Arial"/>
                <w:sz w:val="21"/>
                <w:szCs w:val="21"/>
              </w:rPr>
              <w:tab/>
            </w:r>
            <w:r>
              <w:rPr>
                <w:rFonts w:ascii="Arial" w:hAnsi="Arial" w:cs="Arial"/>
                <w:spacing w:val="-2"/>
                <w:sz w:val="21"/>
                <w:szCs w:val="21"/>
              </w:rPr>
              <w:t>Sri</w:t>
            </w:r>
            <w:r>
              <w:rPr>
                <w:rFonts w:ascii="Arial" w:hAnsi="Arial" w:cs="Arial"/>
                <w:spacing w:val="-2"/>
                <w:sz w:val="21"/>
                <w:szCs w:val="21"/>
              </w:rPr>
              <w:tab/>
            </w:r>
            <w:r>
              <w:rPr>
                <w:rFonts w:ascii="Arial" w:hAnsi="Arial" w:cs="Arial"/>
                <w:spacing w:val="-1"/>
                <w:sz w:val="21"/>
                <w:szCs w:val="21"/>
              </w:rPr>
              <w:t>Anthony</w:t>
            </w:r>
            <w:r>
              <w:rPr>
                <w:rFonts w:ascii="Arial" w:hAnsi="Arial" w:cs="Arial"/>
                <w:sz w:val="21"/>
                <w:szCs w:val="21"/>
              </w:rPr>
              <w:t xml:space="preserve"> Francis Fernandes</w:t>
            </w:r>
          </w:p>
        </w:tc>
        <w:tc>
          <w:tcPr>
            <w:tcW w:w="1531"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spacing w:line="239" w:lineRule="exact"/>
              <w:ind w:right="101"/>
              <w:jc w:val="right"/>
            </w:pPr>
            <w:r>
              <w:rPr>
                <w:rFonts w:ascii="Arial" w:hAnsi="Arial" w:cs="Arial"/>
                <w:spacing w:val="-1"/>
                <w:sz w:val="21"/>
                <w:szCs w:val="21"/>
              </w:rPr>
              <w:t>111,587,228</w:t>
            </w:r>
          </w:p>
        </w:tc>
        <w:tc>
          <w:tcPr>
            <w:tcW w:w="989"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spacing w:line="239" w:lineRule="exact"/>
              <w:ind w:right="99"/>
              <w:jc w:val="right"/>
            </w:pPr>
            <w:r>
              <w:rPr>
                <w:rFonts w:ascii="Arial" w:hAnsi="Arial" w:cs="Arial"/>
                <w:spacing w:val="-1"/>
                <w:sz w:val="21"/>
                <w:szCs w:val="21"/>
              </w:rPr>
              <w:t>2.69</w:t>
            </w:r>
          </w:p>
        </w:tc>
        <w:tc>
          <w:tcPr>
            <w:tcW w:w="1733"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spacing w:line="239" w:lineRule="exact"/>
              <w:ind w:right="103"/>
              <w:jc w:val="right"/>
            </w:pPr>
            <w:r>
              <w:rPr>
                <w:rFonts w:ascii="Arial" w:hAnsi="Arial" w:cs="Arial"/>
                <w:spacing w:val="-1"/>
                <w:sz w:val="21"/>
                <w:szCs w:val="21"/>
              </w:rPr>
              <w:t>1,310,331,376</w:t>
            </w:r>
            <w:r>
              <w:rPr>
                <w:rFonts w:ascii="Arial" w:hAnsi="Arial" w:cs="Arial"/>
                <w:spacing w:val="-1"/>
                <w:position w:val="7"/>
                <w:sz w:val="14"/>
                <w:szCs w:val="14"/>
              </w:rPr>
              <w:t>(1)</w:t>
            </w:r>
          </w:p>
        </w:tc>
        <w:tc>
          <w:tcPr>
            <w:tcW w:w="1095"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spacing w:line="239" w:lineRule="exact"/>
              <w:ind w:right="101"/>
              <w:jc w:val="right"/>
            </w:pPr>
            <w:r>
              <w:rPr>
                <w:rFonts w:ascii="Arial" w:hAnsi="Arial" w:cs="Arial"/>
                <w:spacing w:val="-1"/>
                <w:sz w:val="21"/>
                <w:szCs w:val="21"/>
              </w:rPr>
              <w:t>31.59</w:t>
            </w:r>
          </w:p>
        </w:tc>
      </w:tr>
      <w:tr w:rsidR="00000000">
        <w:tblPrEx>
          <w:tblCellMar>
            <w:top w:w="0" w:type="dxa"/>
            <w:left w:w="0" w:type="dxa"/>
            <w:bottom w:w="0" w:type="dxa"/>
            <w:right w:w="0" w:type="dxa"/>
          </w:tblCellMar>
        </w:tblPrEx>
        <w:trPr>
          <w:trHeight w:hRule="exact" w:val="252"/>
        </w:trPr>
        <w:tc>
          <w:tcPr>
            <w:tcW w:w="2441"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left="100"/>
            </w:pPr>
            <w:r>
              <w:rPr>
                <w:rFonts w:ascii="Arial" w:hAnsi="Arial" w:cs="Arial"/>
                <w:sz w:val="21"/>
                <w:szCs w:val="21"/>
              </w:rPr>
              <w:t>Dato’ Fam Lee</w:t>
            </w:r>
            <w:r>
              <w:rPr>
                <w:rFonts w:ascii="Arial" w:hAnsi="Arial" w:cs="Arial"/>
                <w:spacing w:val="-4"/>
                <w:sz w:val="21"/>
                <w:szCs w:val="21"/>
              </w:rPr>
              <w:t xml:space="preserve"> </w:t>
            </w:r>
            <w:r>
              <w:rPr>
                <w:rFonts w:ascii="Arial" w:hAnsi="Arial" w:cs="Arial"/>
                <w:sz w:val="21"/>
                <w:szCs w:val="21"/>
              </w:rPr>
              <w:t>Ee</w:t>
            </w:r>
          </w:p>
        </w:tc>
        <w:tc>
          <w:tcPr>
            <w:tcW w:w="1531"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right="102"/>
              <w:jc w:val="right"/>
            </w:pPr>
            <w:r>
              <w:rPr>
                <w:rFonts w:ascii="Arial" w:hAnsi="Arial" w:cs="Arial"/>
                <w:sz w:val="21"/>
                <w:szCs w:val="21"/>
              </w:rPr>
              <w:t>-</w:t>
            </w:r>
          </w:p>
        </w:tc>
        <w:tc>
          <w:tcPr>
            <w:tcW w:w="989"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right="100"/>
              <w:jc w:val="right"/>
            </w:pPr>
            <w:r>
              <w:rPr>
                <w:rFonts w:ascii="Arial" w:hAnsi="Arial" w:cs="Arial"/>
                <w:sz w:val="21"/>
                <w:szCs w:val="21"/>
              </w:rPr>
              <w:t>-</w:t>
            </w:r>
          </w:p>
        </w:tc>
        <w:tc>
          <w:tcPr>
            <w:tcW w:w="1733"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right="102"/>
              <w:jc w:val="right"/>
            </w:pPr>
            <w:r>
              <w:rPr>
                <w:rFonts w:ascii="Arial" w:hAnsi="Arial" w:cs="Arial"/>
                <w:sz w:val="21"/>
                <w:szCs w:val="21"/>
              </w:rPr>
              <w:t>-</w:t>
            </w:r>
          </w:p>
        </w:tc>
        <w:tc>
          <w:tcPr>
            <w:tcW w:w="1095"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right="102"/>
              <w:jc w:val="right"/>
            </w:pPr>
            <w:r>
              <w:rPr>
                <w:rFonts w:ascii="Arial" w:hAnsi="Arial" w:cs="Arial"/>
                <w:sz w:val="21"/>
                <w:szCs w:val="21"/>
              </w:rPr>
              <w:t>-</w:t>
            </w:r>
          </w:p>
        </w:tc>
      </w:tr>
      <w:tr w:rsidR="00000000">
        <w:tblPrEx>
          <w:tblCellMar>
            <w:top w:w="0" w:type="dxa"/>
            <w:left w:w="0" w:type="dxa"/>
            <w:bottom w:w="0" w:type="dxa"/>
            <w:right w:w="0" w:type="dxa"/>
          </w:tblCellMar>
        </w:tblPrEx>
        <w:trPr>
          <w:trHeight w:hRule="exact" w:val="250"/>
        </w:trPr>
        <w:tc>
          <w:tcPr>
            <w:tcW w:w="2441"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spacing w:line="239" w:lineRule="exact"/>
              <w:ind w:left="100"/>
            </w:pPr>
            <w:r>
              <w:rPr>
                <w:rFonts w:ascii="Arial" w:hAnsi="Arial" w:cs="Arial"/>
                <w:b/>
                <w:bCs/>
                <w:sz w:val="21"/>
                <w:szCs w:val="21"/>
              </w:rPr>
              <w:t>Major</w:t>
            </w:r>
            <w:r>
              <w:rPr>
                <w:rFonts w:ascii="Arial" w:hAnsi="Arial" w:cs="Arial"/>
                <w:b/>
                <w:bCs/>
                <w:spacing w:val="-2"/>
                <w:sz w:val="21"/>
                <w:szCs w:val="21"/>
              </w:rPr>
              <w:t xml:space="preserve"> </w:t>
            </w:r>
            <w:r>
              <w:rPr>
                <w:rFonts w:ascii="Arial" w:hAnsi="Arial" w:cs="Arial"/>
                <w:b/>
                <w:bCs/>
                <w:sz w:val="21"/>
                <w:szCs w:val="21"/>
              </w:rPr>
              <w:t>Shareholders</w:t>
            </w:r>
          </w:p>
        </w:tc>
        <w:tc>
          <w:tcPr>
            <w:tcW w:w="1531" w:type="dxa"/>
            <w:tcBorders>
              <w:top w:val="single" w:sz="4" w:space="0" w:color="000000"/>
              <w:left w:val="single" w:sz="4" w:space="0" w:color="000000"/>
              <w:bottom w:val="single" w:sz="4" w:space="0" w:color="000000"/>
              <w:right w:val="single" w:sz="4" w:space="0" w:color="000000"/>
            </w:tcBorders>
          </w:tcPr>
          <w:p w:rsidR="00000000" w:rsidRDefault="003B1894"/>
        </w:tc>
        <w:tc>
          <w:tcPr>
            <w:tcW w:w="989" w:type="dxa"/>
            <w:tcBorders>
              <w:top w:val="single" w:sz="4" w:space="0" w:color="000000"/>
              <w:left w:val="single" w:sz="4" w:space="0" w:color="000000"/>
              <w:bottom w:val="single" w:sz="4" w:space="0" w:color="000000"/>
              <w:right w:val="single" w:sz="4" w:space="0" w:color="000000"/>
            </w:tcBorders>
          </w:tcPr>
          <w:p w:rsidR="00000000" w:rsidRDefault="003B1894"/>
        </w:tc>
        <w:tc>
          <w:tcPr>
            <w:tcW w:w="1733" w:type="dxa"/>
            <w:tcBorders>
              <w:top w:val="single" w:sz="4" w:space="0" w:color="000000"/>
              <w:left w:val="single" w:sz="4" w:space="0" w:color="000000"/>
              <w:bottom w:val="single" w:sz="4" w:space="0" w:color="000000"/>
              <w:right w:val="single" w:sz="4" w:space="0" w:color="000000"/>
            </w:tcBorders>
          </w:tcPr>
          <w:p w:rsidR="00000000" w:rsidRDefault="003B1894"/>
        </w:tc>
        <w:tc>
          <w:tcPr>
            <w:tcW w:w="1095" w:type="dxa"/>
            <w:tcBorders>
              <w:top w:val="single" w:sz="4" w:space="0" w:color="000000"/>
              <w:left w:val="single" w:sz="4" w:space="0" w:color="000000"/>
              <w:bottom w:val="single" w:sz="4" w:space="0" w:color="000000"/>
              <w:right w:val="single" w:sz="4" w:space="0" w:color="000000"/>
            </w:tcBorders>
          </w:tcPr>
          <w:p w:rsidR="00000000" w:rsidRDefault="003B1894"/>
        </w:tc>
      </w:tr>
      <w:tr w:rsidR="00000000">
        <w:tblPrEx>
          <w:tblCellMar>
            <w:top w:w="0" w:type="dxa"/>
            <w:left w:w="0" w:type="dxa"/>
            <w:bottom w:w="0" w:type="dxa"/>
            <w:right w:w="0" w:type="dxa"/>
          </w:tblCellMar>
        </w:tblPrEx>
        <w:trPr>
          <w:trHeight w:hRule="exact" w:val="252"/>
        </w:trPr>
        <w:tc>
          <w:tcPr>
            <w:tcW w:w="2441"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left="100"/>
            </w:pPr>
            <w:r>
              <w:rPr>
                <w:rFonts w:ascii="Arial" w:hAnsi="Arial" w:cs="Arial"/>
                <w:sz w:val="21"/>
                <w:szCs w:val="21"/>
              </w:rPr>
              <w:t>Tune Group Sdn</w:t>
            </w:r>
            <w:r>
              <w:rPr>
                <w:rFonts w:ascii="Arial" w:hAnsi="Arial" w:cs="Arial"/>
                <w:spacing w:val="-3"/>
                <w:sz w:val="21"/>
                <w:szCs w:val="21"/>
              </w:rPr>
              <w:t xml:space="preserve"> </w:t>
            </w:r>
            <w:r>
              <w:rPr>
                <w:rFonts w:ascii="Arial" w:hAnsi="Arial" w:cs="Arial"/>
                <w:sz w:val="21"/>
                <w:szCs w:val="21"/>
              </w:rPr>
              <w:t>Bhd</w:t>
            </w:r>
          </w:p>
        </w:tc>
        <w:tc>
          <w:tcPr>
            <w:tcW w:w="1531"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right="101"/>
              <w:jc w:val="right"/>
            </w:pPr>
            <w:r>
              <w:rPr>
                <w:rFonts w:ascii="Arial" w:hAnsi="Arial" w:cs="Arial"/>
                <w:spacing w:val="-1"/>
                <w:sz w:val="21"/>
                <w:szCs w:val="21"/>
              </w:rPr>
              <w:t>739,602,874</w:t>
            </w:r>
          </w:p>
        </w:tc>
        <w:tc>
          <w:tcPr>
            <w:tcW w:w="989"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right="99"/>
              <w:jc w:val="right"/>
            </w:pPr>
            <w:r>
              <w:rPr>
                <w:rFonts w:ascii="Arial" w:hAnsi="Arial" w:cs="Arial"/>
                <w:spacing w:val="-1"/>
                <w:sz w:val="21"/>
                <w:szCs w:val="21"/>
              </w:rPr>
              <w:t>17.83</w:t>
            </w:r>
          </w:p>
        </w:tc>
        <w:tc>
          <w:tcPr>
            <w:tcW w:w="1733"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right="102"/>
              <w:jc w:val="right"/>
            </w:pPr>
            <w:r>
              <w:rPr>
                <w:rFonts w:ascii="Arial" w:hAnsi="Arial" w:cs="Arial"/>
                <w:sz w:val="21"/>
                <w:szCs w:val="21"/>
              </w:rPr>
              <w:t>-</w:t>
            </w:r>
          </w:p>
        </w:tc>
        <w:tc>
          <w:tcPr>
            <w:tcW w:w="1095"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right="102"/>
              <w:jc w:val="right"/>
            </w:pPr>
            <w:r>
              <w:rPr>
                <w:rFonts w:ascii="Arial" w:hAnsi="Arial" w:cs="Arial"/>
                <w:sz w:val="21"/>
                <w:szCs w:val="21"/>
              </w:rPr>
              <w:t>-</w:t>
            </w:r>
          </w:p>
        </w:tc>
      </w:tr>
      <w:tr w:rsidR="00000000">
        <w:tblPrEx>
          <w:tblCellMar>
            <w:top w:w="0" w:type="dxa"/>
            <w:left w:w="0" w:type="dxa"/>
            <w:bottom w:w="0" w:type="dxa"/>
            <w:right w:w="0" w:type="dxa"/>
          </w:tblCellMar>
        </w:tblPrEx>
        <w:trPr>
          <w:trHeight w:hRule="exact" w:val="252"/>
        </w:trPr>
        <w:tc>
          <w:tcPr>
            <w:tcW w:w="2441"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left="100"/>
            </w:pPr>
            <w:r>
              <w:rPr>
                <w:rFonts w:ascii="Arial" w:hAnsi="Arial" w:cs="Arial"/>
                <w:sz w:val="21"/>
                <w:szCs w:val="21"/>
              </w:rPr>
              <w:t>AAB</w:t>
            </w:r>
          </w:p>
        </w:tc>
        <w:tc>
          <w:tcPr>
            <w:tcW w:w="1531"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right="101"/>
              <w:jc w:val="right"/>
            </w:pPr>
            <w:r>
              <w:rPr>
                <w:rFonts w:ascii="Arial" w:hAnsi="Arial" w:cs="Arial"/>
                <w:spacing w:val="-1"/>
                <w:sz w:val="21"/>
                <w:szCs w:val="21"/>
              </w:rPr>
              <w:t>570,728,502</w:t>
            </w:r>
          </w:p>
        </w:tc>
        <w:tc>
          <w:tcPr>
            <w:tcW w:w="989"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right="99"/>
              <w:jc w:val="right"/>
            </w:pPr>
            <w:r>
              <w:rPr>
                <w:rFonts w:ascii="Arial" w:hAnsi="Arial" w:cs="Arial"/>
                <w:spacing w:val="-1"/>
                <w:sz w:val="21"/>
                <w:szCs w:val="21"/>
              </w:rPr>
              <w:t>13.76</w:t>
            </w:r>
          </w:p>
        </w:tc>
        <w:tc>
          <w:tcPr>
            <w:tcW w:w="1733"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right="102"/>
              <w:jc w:val="right"/>
            </w:pPr>
            <w:r>
              <w:rPr>
                <w:rFonts w:ascii="Arial" w:hAnsi="Arial" w:cs="Arial"/>
                <w:sz w:val="21"/>
                <w:szCs w:val="21"/>
              </w:rPr>
              <w:t>-</w:t>
            </w:r>
          </w:p>
        </w:tc>
        <w:tc>
          <w:tcPr>
            <w:tcW w:w="1095"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right="102"/>
              <w:jc w:val="right"/>
            </w:pPr>
            <w:r>
              <w:rPr>
                <w:rFonts w:ascii="Arial" w:hAnsi="Arial" w:cs="Arial"/>
                <w:sz w:val="21"/>
                <w:szCs w:val="21"/>
              </w:rPr>
              <w:t>-</w:t>
            </w:r>
          </w:p>
        </w:tc>
      </w:tr>
      <w:tr w:rsidR="00000000">
        <w:tblPrEx>
          <w:tblCellMar>
            <w:top w:w="0" w:type="dxa"/>
            <w:left w:w="0" w:type="dxa"/>
            <w:bottom w:w="0" w:type="dxa"/>
            <w:right w:w="0" w:type="dxa"/>
          </w:tblCellMar>
        </w:tblPrEx>
        <w:trPr>
          <w:trHeight w:hRule="exact" w:val="492"/>
        </w:trPr>
        <w:tc>
          <w:tcPr>
            <w:tcW w:w="2441"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left="100" w:right="99"/>
            </w:pPr>
            <w:r>
              <w:rPr>
                <w:rFonts w:ascii="Arial" w:hAnsi="Arial" w:cs="Arial"/>
                <w:sz w:val="21"/>
                <w:szCs w:val="21"/>
              </w:rPr>
              <w:t>Datuk Kamarudin bin Meranun</w:t>
            </w:r>
          </w:p>
        </w:tc>
        <w:tc>
          <w:tcPr>
            <w:tcW w:w="1531"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right="101"/>
              <w:jc w:val="right"/>
            </w:pPr>
            <w:r>
              <w:rPr>
                <w:rFonts w:ascii="Arial" w:hAnsi="Arial" w:cs="Arial"/>
                <w:spacing w:val="-1"/>
                <w:sz w:val="21"/>
                <w:szCs w:val="21"/>
              </w:rPr>
              <w:t>370,709,939</w:t>
            </w:r>
          </w:p>
        </w:tc>
        <w:tc>
          <w:tcPr>
            <w:tcW w:w="989"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right="99"/>
              <w:jc w:val="right"/>
            </w:pPr>
            <w:r>
              <w:rPr>
                <w:rFonts w:ascii="Arial" w:hAnsi="Arial" w:cs="Arial"/>
                <w:spacing w:val="-1"/>
                <w:sz w:val="21"/>
                <w:szCs w:val="21"/>
              </w:rPr>
              <w:t>8.94</w:t>
            </w:r>
          </w:p>
        </w:tc>
        <w:tc>
          <w:tcPr>
            <w:tcW w:w="1733"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spacing w:line="241" w:lineRule="exact"/>
              <w:ind w:right="103"/>
              <w:jc w:val="right"/>
            </w:pPr>
            <w:r>
              <w:rPr>
                <w:rFonts w:ascii="Arial" w:hAnsi="Arial" w:cs="Arial"/>
                <w:spacing w:val="-1"/>
                <w:sz w:val="21"/>
                <w:szCs w:val="21"/>
              </w:rPr>
              <w:t>1,310,331,376</w:t>
            </w:r>
            <w:r>
              <w:rPr>
                <w:rFonts w:ascii="Arial" w:hAnsi="Arial" w:cs="Arial"/>
                <w:spacing w:val="-1"/>
                <w:position w:val="7"/>
                <w:sz w:val="14"/>
                <w:szCs w:val="14"/>
              </w:rPr>
              <w:t>(1)</w:t>
            </w:r>
          </w:p>
        </w:tc>
        <w:tc>
          <w:tcPr>
            <w:tcW w:w="1095"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right="101"/>
              <w:jc w:val="right"/>
            </w:pPr>
            <w:r>
              <w:rPr>
                <w:rFonts w:ascii="Arial" w:hAnsi="Arial" w:cs="Arial"/>
                <w:spacing w:val="-1"/>
                <w:sz w:val="21"/>
                <w:szCs w:val="21"/>
              </w:rPr>
              <w:t>31.59</w:t>
            </w:r>
          </w:p>
        </w:tc>
      </w:tr>
      <w:tr w:rsidR="00000000">
        <w:tblPrEx>
          <w:tblCellMar>
            <w:top w:w="0" w:type="dxa"/>
            <w:left w:w="0" w:type="dxa"/>
            <w:bottom w:w="0" w:type="dxa"/>
            <w:right w:w="0" w:type="dxa"/>
          </w:tblCellMar>
        </w:tblPrEx>
        <w:trPr>
          <w:trHeight w:hRule="exact" w:val="494"/>
        </w:trPr>
        <w:tc>
          <w:tcPr>
            <w:tcW w:w="2441"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tabs>
                <w:tab w:val="left" w:pos="882"/>
                <w:tab w:val="left" w:pos="1556"/>
              </w:tabs>
              <w:kinsoku w:val="0"/>
              <w:overflowPunct w:val="0"/>
              <w:ind w:left="100" w:right="101"/>
            </w:pPr>
            <w:r>
              <w:rPr>
                <w:rFonts w:ascii="Arial" w:hAnsi="Arial" w:cs="Arial"/>
                <w:sz w:val="21"/>
                <w:szCs w:val="21"/>
              </w:rPr>
              <w:t>Tan</w:t>
            </w:r>
            <w:r>
              <w:rPr>
                <w:rFonts w:ascii="Arial" w:hAnsi="Arial" w:cs="Arial"/>
                <w:sz w:val="21"/>
                <w:szCs w:val="21"/>
              </w:rPr>
              <w:tab/>
            </w:r>
            <w:r>
              <w:rPr>
                <w:rFonts w:ascii="Arial" w:hAnsi="Arial" w:cs="Arial"/>
                <w:spacing w:val="-2"/>
                <w:sz w:val="21"/>
                <w:szCs w:val="21"/>
              </w:rPr>
              <w:t>Sri</w:t>
            </w:r>
            <w:r>
              <w:rPr>
                <w:rFonts w:ascii="Arial" w:hAnsi="Arial" w:cs="Arial"/>
                <w:spacing w:val="-2"/>
                <w:sz w:val="21"/>
                <w:szCs w:val="21"/>
              </w:rPr>
              <w:tab/>
            </w:r>
            <w:r>
              <w:rPr>
                <w:rFonts w:ascii="Arial" w:hAnsi="Arial" w:cs="Arial"/>
                <w:spacing w:val="-1"/>
                <w:sz w:val="21"/>
                <w:szCs w:val="21"/>
              </w:rPr>
              <w:t>Anthony</w:t>
            </w:r>
            <w:r>
              <w:rPr>
                <w:rFonts w:ascii="Arial" w:hAnsi="Arial" w:cs="Arial"/>
                <w:sz w:val="21"/>
                <w:szCs w:val="21"/>
              </w:rPr>
              <w:t xml:space="preserve"> Francis Fernandes</w:t>
            </w:r>
          </w:p>
        </w:tc>
        <w:tc>
          <w:tcPr>
            <w:tcW w:w="1531"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right="101"/>
              <w:jc w:val="right"/>
            </w:pPr>
            <w:r>
              <w:rPr>
                <w:rFonts w:ascii="Arial" w:hAnsi="Arial" w:cs="Arial"/>
                <w:spacing w:val="-1"/>
                <w:sz w:val="21"/>
                <w:szCs w:val="21"/>
              </w:rPr>
              <w:t>111,587,228</w:t>
            </w:r>
          </w:p>
        </w:tc>
        <w:tc>
          <w:tcPr>
            <w:tcW w:w="989"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right="99"/>
              <w:jc w:val="right"/>
            </w:pPr>
            <w:r>
              <w:rPr>
                <w:rFonts w:ascii="Arial" w:hAnsi="Arial" w:cs="Arial"/>
                <w:spacing w:val="-1"/>
                <w:sz w:val="21"/>
                <w:szCs w:val="21"/>
              </w:rPr>
              <w:t>2.69</w:t>
            </w:r>
          </w:p>
        </w:tc>
        <w:tc>
          <w:tcPr>
            <w:tcW w:w="1733"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spacing w:line="241" w:lineRule="exact"/>
              <w:ind w:right="103"/>
              <w:jc w:val="right"/>
            </w:pPr>
            <w:r>
              <w:rPr>
                <w:rFonts w:ascii="Arial" w:hAnsi="Arial" w:cs="Arial"/>
                <w:spacing w:val="-1"/>
                <w:sz w:val="21"/>
                <w:szCs w:val="21"/>
              </w:rPr>
              <w:t>1,310,331,376</w:t>
            </w:r>
            <w:r>
              <w:rPr>
                <w:rFonts w:ascii="Arial" w:hAnsi="Arial" w:cs="Arial"/>
                <w:spacing w:val="-1"/>
                <w:position w:val="7"/>
                <w:sz w:val="14"/>
                <w:szCs w:val="14"/>
              </w:rPr>
              <w:t>(1)</w:t>
            </w:r>
          </w:p>
        </w:tc>
        <w:tc>
          <w:tcPr>
            <w:tcW w:w="1095"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right="101"/>
              <w:jc w:val="right"/>
            </w:pPr>
            <w:r>
              <w:rPr>
                <w:rFonts w:ascii="Arial" w:hAnsi="Arial" w:cs="Arial"/>
                <w:spacing w:val="-1"/>
                <w:sz w:val="21"/>
                <w:szCs w:val="21"/>
              </w:rPr>
              <w:t>31.59</w:t>
            </w:r>
          </w:p>
        </w:tc>
      </w:tr>
    </w:tbl>
    <w:p w:rsidR="00000000" w:rsidRDefault="003B1894">
      <w:pPr>
        <w:pStyle w:val="BodyText"/>
        <w:kinsoku w:val="0"/>
        <w:overflowPunct w:val="0"/>
        <w:spacing w:before="5"/>
        <w:ind w:left="0"/>
        <w:rPr>
          <w:sz w:val="14"/>
          <w:szCs w:val="14"/>
        </w:rPr>
      </w:pPr>
    </w:p>
    <w:p w:rsidR="00000000" w:rsidRDefault="003B1894">
      <w:pPr>
        <w:pStyle w:val="BodyText"/>
        <w:kinsoku w:val="0"/>
        <w:overflowPunct w:val="0"/>
        <w:spacing w:before="74" w:line="240" w:lineRule="exact"/>
        <w:ind w:left="1250" w:right="119"/>
      </w:pPr>
      <w:r>
        <w:t>Note:</w:t>
      </w:r>
    </w:p>
    <w:p w:rsidR="00000000" w:rsidRDefault="003B1894">
      <w:pPr>
        <w:pStyle w:val="BodyText"/>
        <w:tabs>
          <w:tab w:val="left" w:pos="1818"/>
        </w:tabs>
        <w:kinsoku w:val="0"/>
        <w:overflowPunct w:val="0"/>
        <w:ind w:left="1818" w:right="120" w:hanging="569"/>
      </w:pPr>
      <w:r>
        <w:rPr>
          <w:spacing w:val="-1"/>
          <w:position w:val="7"/>
          <w:sz w:val="14"/>
          <w:szCs w:val="14"/>
        </w:rPr>
        <w:t>(1)</w:t>
      </w:r>
      <w:r>
        <w:rPr>
          <w:spacing w:val="-1"/>
          <w:position w:val="7"/>
          <w:sz w:val="14"/>
          <w:szCs w:val="14"/>
        </w:rPr>
        <w:tab/>
      </w:r>
      <w:r>
        <w:rPr>
          <w:spacing w:val="-1"/>
        </w:rPr>
        <w:t>Deemed</w:t>
      </w:r>
      <w:r>
        <w:rPr>
          <w:spacing w:val="49"/>
        </w:rPr>
        <w:t xml:space="preserve"> </w:t>
      </w:r>
      <w:r>
        <w:rPr>
          <w:spacing w:val="-1"/>
        </w:rPr>
        <w:t>interested</w:t>
      </w:r>
      <w:r>
        <w:rPr>
          <w:spacing w:val="49"/>
        </w:rPr>
        <w:t xml:space="preserve"> </w:t>
      </w:r>
      <w:r>
        <w:t>by</w:t>
      </w:r>
      <w:r>
        <w:rPr>
          <w:spacing w:val="49"/>
        </w:rPr>
        <w:t xml:space="preserve"> </w:t>
      </w:r>
      <w:r>
        <w:rPr>
          <w:spacing w:val="-1"/>
        </w:rPr>
        <w:t>virtue</w:t>
      </w:r>
      <w:r>
        <w:rPr>
          <w:spacing w:val="49"/>
        </w:rPr>
        <w:t xml:space="preserve"> </w:t>
      </w:r>
      <w:r>
        <w:t>of</w:t>
      </w:r>
      <w:r>
        <w:rPr>
          <w:spacing w:val="50"/>
        </w:rPr>
        <w:t xml:space="preserve"> </w:t>
      </w:r>
      <w:r>
        <w:rPr>
          <w:spacing w:val="-1"/>
        </w:rPr>
        <w:t>their</w:t>
      </w:r>
      <w:r>
        <w:rPr>
          <w:spacing w:val="47"/>
        </w:rPr>
        <w:t xml:space="preserve"> </w:t>
      </w:r>
      <w:r>
        <w:rPr>
          <w:spacing w:val="-1"/>
        </w:rPr>
        <w:t>interests</w:t>
      </w:r>
      <w:r>
        <w:rPr>
          <w:spacing w:val="49"/>
        </w:rPr>
        <w:t xml:space="preserve"> </w:t>
      </w:r>
      <w:r>
        <w:t>in</w:t>
      </w:r>
      <w:r>
        <w:rPr>
          <w:spacing w:val="52"/>
        </w:rPr>
        <w:t xml:space="preserve"> </w:t>
      </w:r>
      <w:r>
        <w:rPr>
          <w:spacing w:val="-1"/>
        </w:rPr>
        <w:t>AAB</w:t>
      </w:r>
      <w:r>
        <w:rPr>
          <w:spacing w:val="50"/>
        </w:rPr>
        <w:t xml:space="preserve"> </w:t>
      </w:r>
      <w:r>
        <w:t>and</w:t>
      </w:r>
      <w:r>
        <w:rPr>
          <w:spacing w:val="49"/>
        </w:rPr>
        <w:t xml:space="preserve"> </w:t>
      </w:r>
      <w:r>
        <w:rPr>
          <w:spacing w:val="-1"/>
        </w:rPr>
        <w:t>Tune</w:t>
      </w:r>
      <w:r>
        <w:rPr>
          <w:spacing w:val="49"/>
        </w:rPr>
        <w:t xml:space="preserve"> </w:t>
      </w:r>
      <w:r>
        <w:rPr>
          <w:spacing w:val="-1"/>
        </w:rPr>
        <w:t>Group</w:t>
      </w:r>
      <w:r>
        <w:rPr>
          <w:spacing w:val="49"/>
        </w:rPr>
        <w:t xml:space="preserve"> </w:t>
      </w:r>
      <w:r>
        <w:rPr>
          <w:spacing w:val="-1"/>
        </w:rPr>
        <w:t>Sdn</w:t>
      </w:r>
      <w:r>
        <w:rPr>
          <w:spacing w:val="49"/>
        </w:rPr>
        <w:t xml:space="preserve"> </w:t>
      </w:r>
      <w:r>
        <w:rPr>
          <w:spacing w:val="-1"/>
        </w:rPr>
        <w:t>Bhd</w:t>
      </w:r>
      <w:r>
        <w:t xml:space="preserve"> pursuant to Section 8 of the Companies Act</w:t>
      </w:r>
      <w:r>
        <w:rPr>
          <w:spacing w:val="-7"/>
        </w:rPr>
        <w:t xml:space="preserve"> </w:t>
      </w:r>
      <w:r>
        <w:t>2016.</w:t>
      </w:r>
    </w:p>
    <w:p w:rsidR="00000000" w:rsidRDefault="003B1894">
      <w:pPr>
        <w:pStyle w:val="BodyText"/>
        <w:kinsoku w:val="0"/>
        <w:overflowPunct w:val="0"/>
        <w:spacing w:before="2"/>
        <w:ind w:left="0"/>
      </w:pPr>
    </w:p>
    <w:p w:rsidR="00000000" w:rsidRDefault="003B1894">
      <w:pPr>
        <w:pStyle w:val="ListParagraph"/>
        <w:numPr>
          <w:ilvl w:val="1"/>
          <w:numId w:val="1"/>
        </w:numPr>
        <w:tabs>
          <w:tab w:val="left" w:pos="1250"/>
        </w:tabs>
        <w:kinsoku w:val="0"/>
        <w:overflowPunct w:val="0"/>
        <w:ind w:left="1250" w:right="119" w:hanging="567"/>
        <w:jc w:val="both"/>
        <w:rPr>
          <w:rFonts w:ascii="Arial" w:hAnsi="Arial" w:cs="Arial"/>
          <w:color w:val="000000"/>
          <w:sz w:val="21"/>
          <w:szCs w:val="21"/>
        </w:rPr>
      </w:pPr>
      <w:r>
        <w:rPr>
          <w:rFonts w:ascii="Arial" w:hAnsi="Arial" w:cs="Arial"/>
          <w:sz w:val="21"/>
          <w:szCs w:val="21"/>
        </w:rPr>
        <w:t>The Related Parties are deemed to have interest in the Agreement and they have abstained from all management and Board’s deliberations and votings in respect of the Agreement.</w:t>
      </w:r>
    </w:p>
    <w:p w:rsidR="00000000" w:rsidRDefault="003B1894">
      <w:pPr>
        <w:pStyle w:val="BodyText"/>
        <w:kinsoku w:val="0"/>
        <w:overflowPunct w:val="0"/>
        <w:spacing w:before="11"/>
        <w:ind w:left="0"/>
        <w:rPr>
          <w:sz w:val="20"/>
          <w:szCs w:val="20"/>
        </w:rPr>
      </w:pPr>
    </w:p>
    <w:p w:rsidR="00000000" w:rsidRDefault="003B1894">
      <w:pPr>
        <w:pStyle w:val="Heading1"/>
        <w:numPr>
          <w:ilvl w:val="0"/>
          <w:numId w:val="1"/>
        </w:numPr>
        <w:tabs>
          <w:tab w:val="left" w:pos="684"/>
        </w:tabs>
        <w:kinsoku w:val="0"/>
        <w:overflowPunct w:val="0"/>
        <w:rPr>
          <w:b w:val="0"/>
          <w:bCs w:val="0"/>
        </w:rPr>
      </w:pPr>
      <w:r>
        <w:t>Audit Committee’s</w:t>
      </w:r>
      <w:r>
        <w:rPr>
          <w:spacing w:val="-7"/>
        </w:rPr>
        <w:t xml:space="preserve"> </w:t>
      </w:r>
      <w:r>
        <w:t>Statement</w:t>
      </w:r>
    </w:p>
    <w:p w:rsidR="00000000" w:rsidRDefault="003B1894">
      <w:pPr>
        <w:pStyle w:val="BodyText"/>
        <w:kinsoku w:val="0"/>
        <w:overflowPunct w:val="0"/>
        <w:spacing w:before="9"/>
        <w:ind w:left="0"/>
        <w:rPr>
          <w:b/>
          <w:bCs/>
          <w:sz w:val="20"/>
          <w:szCs w:val="20"/>
        </w:rPr>
      </w:pPr>
    </w:p>
    <w:p w:rsidR="00000000" w:rsidRDefault="003B1894">
      <w:pPr>
        <w:pStyle w:val="BodyText"/>
        <w:kinsoku w:val="0"/>
        <w:overflowPunct w:val="0"/>
        <w:ind w:right="121"/>
        <w:jc w:val="both"/>
      </w:pPr>
      <w:r>
        <w:t>The Audit Committee of AAX, having considered all the relevant factors in respect of the Transaction, is of the view that the Transaction is in the best interest of the Company as the Agreement is entered under fair, reasonable and on normal commercial ter</w:t>
      </w:r>
      <w:r>
        <w:t>ms which are not detrimental to the interest of the minority shareholders of the</w:t>
      </w:r>
      <w:r>
        <w:rPr>
          <w:spacing w:val="-16"/>
        </w:rPr>
        <w:t xml:space="preserve"> </w:t>
      </w:r>
      <w:r>
        <w:t>Company.</w:t>
      </w:r>
    </w:p>
    <w:p w:rsidR="00000000" w:rsidRDefault="003B1894">
      <w:pPr>
        <w:pStyle w:val="BodyText"/>
        <w:kinsoku w:val="0"/>
        <w:overflowPunct w:val="0"/>
        <w:spacing w:before="11"/>
        <w:ind w:left="0"/>
        <w:rPr>
          <w:sz w:val="20"/>
          <w:szCs w:val="20"/>
        </w:rPr>
      </w:pPr>
    </w:p>
    <w:p w:rsidR="00000000" w:rsidRDefault="003B1894">
      <w:pPr>
        <w:pStyle w:val="Heading1"/>
        <w:numPr>
          <w:ilvl w:val="0"/>
          <w:numId w:val="1"/>
        </w:numPr>
        <w:tabs>
          <w:tab w:val="left" w:pos="684"/>
        </w:tabs>
        <w:kinsoku w:val="0"/>
        <w:overflowPunct w:val="0"/>
        <w:rPr>
          <w:b w:val="0"/>
          <w:bCs w:val="0"/>
        </w:rPr>
      </w:pPr>
      <w:r>
        <w:t>Board of Directors’</w:t>
      </w:r>
      <w:r>
        <w:rPr>
          <w:spacing w:val="-4"/>
        </w:rPr>
        <w:t xml:space="preserve"> </w:t>
      </w:r>
      <w:r>
        <w:t>Statement</w:t>
      </w:r>
    </w:p>
    <w:p w:rsidR="00000000" w:rsidRDefault="003B1894">
      <w:pPr>
        <w:pStyle w:val="BodyText"/>
        <w:kinsoku w:val="0"/>
        <w:overflowPunct w:val="0"/>
        <w:ind w:left="0"/>
        <w:rPr>
          <w:b/>
          <w:bCs/>
        </w:rPr>
      </w:pPr>
    </w:p>
    <w:p w:rsidR="00000000" w:rsidRDefault="003B1894">
      <w:pPr>
        <w:pStyle w:val="BodyText"/>
        <w:kinsoku w:val="0"/>
        <w:overflowPunct w:val="0"/>
        <w:ind w:right="119"/>
        <w:jc w:val="both"/>
      </w:pPr>
      <w:r>
        <w:t>The Directors (other than Datuk Kamarudin bin Meranun, Tan Sri Anthony Francis Fernandes  and Dato’ Fam Lee Ee, the Directors who have</w:t>
      </w:r>
      <w:r>
        <w:t xml:space="preserve"> abstained as stated in Section 8 above) having considered all the relevant factors in respect of the Transaction, are of the view that entering into the Agreement is in the best interest of the Company, fair, reasonable and on normal commercial terms and </w:t>
      </w:r>
      <w:r>
        <w:t>not detrimental to the interest of the minority shareholders of the</w:t>
      </w:r>
      <w:r>
        <w:rPr>
          <w:spacing w:val="-16"/>
        </w:rPr>
        <w:t xml:space="preserve"> </w:t>
      </w:r>
      <w:r>
        <w:t>Company.</w:t>
      </w:r>
    </w:p>
    <w:p w:rsidR="00000000" w:rsidRDefault="003B1894">
      <w:pPr>
        <w:pStyle w:val="BodyText"/>
        <w:kinsoku w:val="0"/>
        <w:overflowPunct w:val="0"/>
        <w:spacing w:before="11"/>
        <w:ind w:left="0"/>
        <w:rPr>
          <w:sz w:val="20"/>
          <w:szCs w:val="20"/>
        </w:rPr>
      </w:pPr>
    </w:p>
    <w:p w:rsidR="00000000" w:rsidRDefault="003B1894">
      <w:pPr>
        <w:pStyle w:val="Heading1"/>
        <w:numPr>
          <w:ilvl w:val="0"/>
          <w:numId w:val="1"/>
        </w:numPr>
        <w:tabs>
          <w:tab w:val="left" w:pos="684"/>
        </w:tabs>
        <w:kinsoku w:val="0"/>
        <w:overflowPunct w:val="0"/>
        <w:rPr>
          <w:b w:val="0"/>
          <w:bCs w:val="0"/>
        </w:rPr>
      </w:pPr>
      <w:r>
        <w:t>Approval</w:t>
      </w:r>
      <w:r>
        <w:rPr>
          <w:spacing w:val="-2"/>
        </w:rPr>
        <w:t xml:space="preserve"> </w:t>
      </w:r>
      <w:r>
        <w:t>Required</w:t>
      </w:r>
    </w:p>
    <w:p w:rsidR="00000000" w:rsidRDefault="003B1894">
      <w:pPr>
        <w:pStyle w:val="BodyText"/>
        <w:kinsoku w:val="0"/>
        <w:overflowPunct w:val="0"/>
        <w:spacing w:before="9"/>
        <w:ind w:left="0"/>
        <w:rPr>
          <w:b/>
          <w:bCs/>
          <w:sz w:val="20"/>
          <w:szCs w:val="20"/>
        </w:rPr>
      </w:pPr>
    </w:p>
    <w:p w:rsidR="00000000" w:rsidRDefault="003B1894">
      <w:pPr>
        <w:pStyle w:val="BodyText"/>
        <w:kinsoku w:val="0"/>
        <w:overflowPunct w:val="0"/>
        <w:ind w:right="121"/>
        <w:jc w:val="both"/>
      </w:pPr>
      <w:r>
        <w:t>The Agreement is not subject to the shareholders’ approval and approval of any government authorities.</w:t>
      </w:r>
    </w:p>
    <w:p w:rsidR="00000000" w:rsidRDefault="003B1894">
      <w:pPr>
        <w:pStyle w:val="BodyText"/>
        <w:kinsoku w:val="0"/>
        <w:overflowPunct w:val="0"/>
        <w:ind w:right="121"/>
        <w:jc w:val="both"/>
        <w:sectPr w:rsidR="00000000">
          <w:pgSz w:w="12240" w:h="15840"/>
          <w:pgMar w:top="840" w:right="1200" w:bottom="1180" w:left="1160" w:header="0" w:footer="999" w:gutter="0"/>
          <w:cols w:space="720"/>
          <w:noEndnote/>
        </w:sectPr>
      </w:pPr>
    </w:p>
    <w:p w:rsidR="00000000" w:rsidRDefault="003B1894">
      <w:pPr>
        <w:pStyle w:val="Heading1"/>
        <w:numPr>
          <w:ilvl w:val="0"/>
          <w:numId w:val="1"/>
        </w:numPr>
        <w:tabs>
          <w:tab w:val="left" w:pos="684"/>
        </w:tabs>
        <w:kinsoku w:val="0"/>
        <w:overflowPunct w:val="0"/>
        <w:spacing w:before="60"/>
        <w:rPr>
          <w:b w:val="0"/>
          <w:bCs w:val="0"/>
        </w:rPr>
      </w:pPr>
      <w:r>
        <w:lastRenderedPageBreak/>
        <w:t>Highest Percentage</w:t>
      </w:r>
      <w:r>
        <w:rPr>
          <w:spacing w:val="-6"/>
        </w:rPr>
        <w:t xml:space="preserve"> </w:t>
      </w:r>
      <w:r>
        <w:t>Ratio</w:t>
      </w:r>
    </w:p>
    <w:p w:rsidR="00000000" w:rsidRDefault="003B1894">
      <w:pPr>
        <w:pStyle w:val="BodyText"/>
        <w:kinsoku w:val="0"/>
        <w:overflowPunct w:val="0"/>
        <w:spacing w:before="9"/>
        <w:ind w:left="0"/>
        <w:rPr>
          <w:b/>
          <w:bCs/>
          <w:sz w:val="20"/>
          <w:szCs w:val="20"/>
        </w:rPr>
      </w:pPr>
    </w:p>
    <w:p w:rsidR="00000000" w:rsidRDefault="003B1894">
      <w:pPr>
        <w:pStyle w:val="BodyText"/>
        <w:kinsoku w:val="0"/>
        <w:overflowPunct w:val="0"/>
        <w:ind w:right="221"/>
        <w:jc w:val="both"/>
      </w:pPr>
      <w:r>
        <w:t>The highest percentage ratio applicable to this Transaction pursuant to Paragraph 10.02(g) of the MMLR computed based on the audited financial statements of the Company on consolidated basis for the financial year ended 31 December 2018 is</w:t>
      </w:r>
      <w:r>
        <w:rPr>
          <w:spacing w:val="-10"/>
        </w:rPr>
        <w:t xml:space="preserve"> </w:t>
      </w:r>
      <w:r>
        <w:t>0.42%.</w:t>
      </w:r>
    </w:p>
    <w:p w:rsidR="00000000" w:rsidRDefault="003B1894">
      <w:pPr>
        <w:pStyle w:val="BodyText"/>
        <w:kinsoku w:val="0"/>
        <w:overflowPunct w:val="0"/>
        <w:spacing w:before="11"/>
        <w:ind w:left="0"/>
        <w:rPr>
          <w:sz w:val="20"/>
          <w:szCs w:val="20"/>
        </w:rPr>
      </w:pPr>
    </w:p>
    <w:p w:rsidR="00000000" w:rsidRDefault="003B1894">
      <w:pPr>
        <w:pStyle w:val="BodyText"/>
        <w:kinsoku w:val="0"/>
        <w:overflowPunct w:val="0"/>
        <w:ind w:right="219"/>
        <w:jc w:val="both"/>
      </w:pPr>
      <w:r>
        <w:t>The aggr</w:t>
      </w:r>
      <w:r>
        <w:t>egate percentage ratio of the related party transactions entered into by the Company with the Related Parties and the persons connected to them pursuant to Paragraph 10.12 of the MMLR is as</w:t>
      </w:r>
      <w:r>
        <w:rPr>
          <w:spacing w:val="-5"/>
        </w:rPr>
        <w:t xml:space="preserve"> </w:t>
      </w:r>
      <w:r>
        <w:t>follows:</w:t>
      </w:r>
    </w:p>
    <w:p w:rsidR="00000000" w:rsidRDefault="003B1894">
      <w:pPr>
        <w:pStyle w:val="BodyText"/>
        <w:kinsoku w:val="0"/>
        <w:overflowPunct w:val="0"/>
        <w:spacing w:before="2"/>
        <w:ind w:left="0"/>
      </w:pPr>
    </w:p>
    <w:tbl>
      <w:tblPr>
        <w:tblW w:w="0" w:type="auto"/>
        <w:tblInd w:w="576" w:type="dxa"/>
        <w:tblLayout w:type="fixed"/>
        <w:tblCellMar>
          <w:left w:w="0" w:type="dxa"/>
          <w:right w:w="0" w:type="dxa"/>
        </w:tblCellMar>
        <w:tblLook w:val="0000" w:firstRow="0" w:lastRow="0" w:firstColumn="0" w:lastColumn="0" w:noHBand="0" w:noVBand="0"/>
      </w:tblPr>
      <w:tblGrid>
        <w:gridCol w:w="3104"/>
        <w:gridCol w:w="3101"/>
        <w:gridCol w:w="3084"/>
      </w:tblGrid>
      <w:tr w:rsidR="00000000">
        <w:tblPrEx>
          <w:tblCellMar>
            <w:top w:w="0" w:type="dxa"/>
            <w:left w:w="0" w:type="dxa"/>
            <w:bottom w:w="0" w:type="dxa"/>
            <w:right w:w="0" w:type="dxa"/>
          </w:tblCellMar>
        </w:tblPrEx>
        <w:trPr>
          <w:trHeight w:hRule="exact" w:val="252"/>
        </w:trPr>
        <w:tc>
          <w:tcPr>
            <w:tcW w:w="3104"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left="103"/>
            </w:pPr>
            <w:r>
              <w:rPr>
                <w:rFonts w:ascii="Arial" w:hAnsi="Arial" w:cs="Arial"/>
                <w:b/>
                <w:bCs/>
                <w:sz w:val="21"/>
                <w:szCs w:val="21"/>
              </w:rPr>
              <w:t>Transactions</w:t>
            </w:r>
          </w:p>
        </w:tc>
        <w:tc>
          <w:tcPr>
            <w:tcW w:w="3101"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right="1"/>
              <w:jc w:val="center"/>
            </w:pPr>
            <w:r>
              <w:rPr>
                <w:rFonts w:ascii="Arial" w:hAnsi="Arial" w:cs="Arial"/>
                <w:b/>
                <w:bCs/>
                <w:sz w:val="21"/>
                <w:szCs w:val="21"/>
              </w:rPr>
              <w:t>Date of</w:t>
            </w:r>
            <w:r>
              <w:rPr>
                <w:rFonts w:ascii="Arial" w:hAnsi="Arial" w:cs="Arial"/>
                <w:b/>
                <w:bCs/>
                <w:spacing w:val="-2"/>
                <w:sz w:val="21"/>
                <w:szCs w:val="21"/>
              </w:rPr>
              <w:t xml:space="preserve"> </w:t>
            </w:r>
            <w:r>
              <w:rPr>
                <w:rFonts w:ascii="Arial" w:hAnsi="Arial" w:cs="Arial"/>
                <w:b/>
                <w:bCs/>
                <w:sz w:val="21"/>
                <w:szCs w:val="21"/>
              </w:rPr>
              <w:t>Transactions</w:t>
            </w:r>
          </w:p>
        </w:tc>
        <w:tc>
          <w:tcPr>
            <w:tcW w:w="3084"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jc w:val="center"/>
            </w:pPr>
            <w:r>
              <w:rPr>
                <w:rFonts w:ascii="Arial" w:hAnsi="Arial" w:cs="Arial"/>
                <w:b/>
                <w:bCs/>
                <w:sz w:val="21"/>
                <w:szCs w:val="21"/>
              </w:rPr>
              <w:t>Relevant Percentage</w:t>
            </w:r>
            <w:r>
              <w:rPr>
                <w:rFonts w:ascii="Arial" w:hAnsi="Arial" w:cs="Arial"/>
                <w:b/>
                <w:bCs/>
                <w:spacing w:val="-7"/>
                <w:sz w:val="21"/>
                <w:szCs w:val="21"/>
              </w:rPr>
              <w:t xml:space="preserve"> </w:t>
            </w:r>
            <w:r>
              <w:rPr>
                <w:rFonts w:ascii="Arial" w:hAnsi="Arial" w:cs="Arial"/>
                <w:b/>
                <w:bCs/>
                <w:sz w:val="21"/>
                <w:szCs w:val="21"/>
              </w:rPr>
              <w:t>Ratio</w:t>
            </w:r>
          </w:p>
        </w:tc>
      </w:tr>
      <w:tr w:rsidR="00000000">
        <w:tblPrEx>
          <w:tblCellMar>
            <w:top w:w="0" w:type="dxa"/>
            <w:left w:w="0" w:type="dxa"/>
            <w:bottom w:w="0" w:type="dxa"/>
            <w:right w:w="0" w:type="dxa"/>
          </w:tblCellMar>
        </w:tblPrEx>
        <w:trPr>
          <w:trHeight w:hRule="exact" w:val="252"/>
        </w:trPr>
        <w:tc>
          <w:tcPr>
            <w:tcW w:w="3104"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left="103"/>
            </w:pPr>
            <w:r>
              <w:rPr>
                <w:rFonts w:ascii="Arial" w:hAnsi="Arial" w:cs="Arial"/>
                <w:sz w:val="21"/>
                <w:szCs w:val="21"/>
              </w:rPr>
              <w:t>Profit Sharing</w:t>
            </w:r>
            <w:r>
              <w:rPr>
                <w:rFonts w:ascii="Arial" w:hAnsi="Arial" w:cs="Arial"/>
                <w:spacing w:val="-6"/>
                <w:sz w:val="21"/>
                <w:szCs w:val="21"/>
              </w:rPr>
              <w:t xml:space="preserve"> </w:t>
            </w:r>
            <w:r>
              <w:rPr>
                <w:rFonts w:ascii="Arial" w:hAnsi="Arial" w:cs="Arial"/>
                <w:sz w:val="21"/>
                <w:szCs w:val="21"/>
              </w:rPr>
              <w:t>Agreement</w:t>
            </w:r>
          </w:p>
        </w:tc>
        <w:tc>
          <w:tcPr>
            <w:tcW w:w="3101"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right="1"/>
              <w:jc w:val="center"/>
            </w:pPr>
            <w:r>
              <w:rPr>
                <w:rFonts w:ascii="Arial" w:hAnsi="Arial" w:cs="Arial"/>
                <w:sz w:val="21"/>
                <w:szCs w:val="21"/>
              </w:rPr>
              <w:t>10 November</w:t>
            </w:r>
            <w:r>
              <w:rPr>
                <w:rFonts w:ascii="Arial" w:hAnsi="Arial" w:cs="Arial"/>
                <w:spacing w:val="-3"/>
                <w:sz w:val="21"/>
                <w:szCs w:val="21"/>
              </w:rPr>
              <w:t xml:space="preserve"> </w:t>
            </w:r>
            <w:r>
              <w:rPr>
                <w:rFonts w:ascii="Arial" w:hAnsi="Arial" w:cs="Arial"/>
                <w:sz w:val="21"/>
                <w:szCs w:val="21"/>
              </w:rPr>
              <w:t>2019</w:t>
            </w:r>
          </w:p>
        </w:tc>
        <w:tc>
          <w:tcPr>
            <w:tcW w:w="3084"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jc w:val="center"/>
            </w:pPr>
            <w:r>
              <w:rPr>
                <w:rFonts w:ascii="Arial" w:hAnsi="Arial" w:cs="Arial"/>
                <w:sz w:val="21"/>
                <w:szCs w:val="21"/>
              </w:rPr>
              <w:t>0.42%</w:t>
            </w:r>
          </w:p>
        </w:tc>
      </w:tr>
      <w:tr w:rsidR="00000000">
        <w:tblPrEx>
          <w:tblCellMar>
            <w:top w:w="0" w:type="dxa"/>
            <w:left w:w="0" w:type="dxa"/>
            <w:bottom w:w="0" w:type="dxa"/>
            <w:right w:w="0" w:type="dxa"/>
          </w:tblCellMar>
        </w:tblPrEx>
        <w:trPr>
          <w:trHeight w:hRule="exact" w:val="250"/>
        </w:trPr>
        <w:tc>
          <w:tcPr>
            <w:tcW w:w="3104"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spacing w:line="239" w:lineRule="exact"/>
              <w:ind w:left="103"/>
            </w:pPr>
            <w:r>
              <w:rPr>
                <w:rFonts w:ascii="Arial" w:hAnsi="Arial" w:cs="Arial"/>
                <w:sz w:val="21"/>
                <w:szCs w:val="21"/>
              </w:rPr>
              <w:t>Wet Lease</w:t>
            </w:r>
            <w:r>
              <w:rPr>
                <w:rFonts w:ascii="Arial" w:hAnsi="Arial" w:cs="Arial"/>
                <w:spacing w:val="-2"/>
                <w:sz w:val="21"/>
                <w:szCs w:val="21"/>
              </w:rPr>
              <w:t xml:space="preserve"> </w:t>
            </w:r>
            <w:r>
              <w:rPr>
                <w:rFonts w:ascii="Arial" w:hAnsi="Arial" w:cs="Arial"/>
                <w:sz w:val="21"/>
                <w:szCs w:val="21"/>
              </w:rPr>
              <w:t>Agreement</w:t>
            </w:r>
          </w:p>
        </w:tc>
        <w:tc>
          <w:tcPr>
            <w:tcW w:w="3101"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spacing w:line="239" w:lineRule="exact"/>
              <w:ind w:right="1"/>
              <w:jc w:val="center"/>
            </w:pPr>
            <w:r>
              <w:rPr>
                <w:rFonts w:ascii="Arial" w:hAnsi="Arial" w:cs="Arial"/>
                <w:sz w:val="21"/>
                <w:szCs w:val="21"/>
              </w:rPr>
              <w:t>23 May 2019</w:t>
            </w:r>
          </w:p>
        </w:tc>
        <w:tc>
          <w:tcPr>
            <w:tcW w:w="3084"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spacing w:line="239" w:lineRule="exact"/>
              <w:jc w:val="center"/>
            </w:pPr>
            <w:r>
              <w:rPr>
                <w:rFonts w:ascii="Arial" w:hAnsi="Arial" w:cs="Arial"/>
                <w:sz w:val="21"/>
                <w:szCs w:val="21"/>
              </w:rPr>
              <w:t>0.38%</w:t>
            </w:r>
          </w:p>
        </w:tc>
      </w:tr>
      <w:tr w:rsidR="00000000">
        <w:tblPrEx>
          <w:tblCellMar>
            <w:top w:w="0" w:type="dxa"/>
            <w:left w:w="0" w:type="dxa"/>
            <w:bottom w:w="0" w:type="dxa"/>
            <w:right w:w="0" w:type="dxa"/>
          </w:tblCellMar>
        </w:tblPrEx>
        <w:trPr>
          <w:trHeight w:hRule="exact" w:val="252"/>
        </w:trPr>
        <w:tc>
          <w:tcPr>
            <w:tcW w:w="6205" w:type="dxa"/>
            <w:gridSpan w:val="2"/>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ind w:right="98"/>
              <w:jc w:val="right"/>
            </w:pPr>
            <w:r>
              <w:rPr>
                <w:rFonts w:ascii="Arial" w:hAnsi="Arial" w:cs="Arial"/>
                <w:b/>
                <w:bCs/>
                <w:spacing w:val="-1"/>
                <w:sz w:val="21"/>
                <w:szCs w:val="21"/>
              </w:rPr>
              <w:t>Total</w:t>
            </w:r>
          </w:p>
        </w:tc>
        <w:tc>
          <w:tcPr>
            <w:tcW w:w="3084" w:type="dxa"/>
            <w:tcBorders>
              <w:top w:val="single" w:sz="4" w:space="0" w:color="000000"/>
              <w:left w:val="single" w:sz="4" w:space="0" w:color="000000"/>
              <w:bottom w:val="single" w:sz="4" w:space="0" w:color="000000"/>
              <w:right w:val="single" w:sz="4" w:space="0" w:color="000000"/>
            </w:tcBorders>
          </w:tcPr>
          <w:p w:rsidR="00000000" w:rsidRDefault="003B1894">
            <w:pPr>
              <w:pStyle w:val="TableParagraph"/>
              <w:kinsoku w:val="0"/>
              <w:overflowPunct w:val="0"/>
              <w:jc w:val="center"/>
            </w:pPr>
            <w:r>
              <w:rPr>
                <w:rFonts w:ascii="Arial" w:hAnsi="Arial" w:cs="Arial"/>
                <w:b/>
                <w:bCs/>
                <w:sz w:val="21"/>
                <w:szCs w:val="21"/>
              </w:rPr>
              <w:t>0.80%</w:t>
            </w:r>
          </w:p>
        </w:tc>
      </w:tr>
    </w:tbl>
    <w:p w:rsidR="00000000" w:rsidRDefault="003B1894">
      <w:pPr>
        <w:pStyle w:val="BodyText"/>
        <w:kinsoku w:val="0"/>
        <w:overflowPunct w:val="0"/>
        <w:spacing w:before="9"/>
        <w:ind w:left="0"/>
        <w:rPr>
          <w:sz w:val="14"/>
          <w:szCs w:val="14"/>
        </w:rPr>
      </w:pPr>
    </w:p>
    <w:p w:rsidR="00000000" w:rsidRDefault="003B1894">
      <w:pPr>
        <w:pStyle w:val="Heading1"/>
        <w:numPr>
          <w:ilvl w:val="0"/>
          <w:numId w:val="1"/>
        </w:numPr>
        <w:tabs>
          <w:tab w:val="left" w:pos="684"/>
        </w:tabs>
        <w:kinsoku w:val="0"/>
        <w:overflowPunct w:val="0"/>
        <w:spacing w:before="72"/>
        <w:rPr>
          <w:b w:val="0"/>
          <w:bCs w:val="0"/>
        </w:rPr>
      </w:pPr>
      <w:r>
        <w:t>Total Amount Transacted for the Preceding Twelve (12)</w:t>
      </w:r>
      <w:r>
        <w:rPr>
          <w:spacing w:val="-11"/>
        </w:rPr>
        <w:t xml:space="preserve"> </w:t>
      </w:r>
      <w:r>
        <w:t>Months</w:t>
      </w:r>
    </w:p>
    <w:p w:rsidR="00000000" w:rsidRDefault="003B1894">
      <w:pPr>
        <w:pStyle w:val="BodyText"/>
        <w:kinsoku w:val="0"/>
        <w:overflowPunct w:val="0"/>
        <w:spacing w:before="9"/>
        <w:ind w:left="0"/>
        <w:rPr>
          <w:b/>
          <w:bCs/>
          <w:sz w:val="20"/>
          <w:szCs w:val="20"/>
        </w:rPr>
      </w:pPr>
    </w:p>
    <w:p w:rsidR="00000000" w:rsidRDefault="003B1894">
      <w:pPr>
        <w:pStyle w:val="BodyText"/>
        <w:kinsoku w:val="0"/>
        <w:overflowPunct w:val="0"/>
        <w:ind w:right="222"/>
        <w:jc w:val="both"/>
      </w:pPr>
      <w:r>
        <w:t>The total amount transacted between the Company and the Related Parties and/or persons connected with them for the preceding twelve (12) months is</w:t>
      </w:r>
      <w:r>
        <w:rPr>
          <w:spacing w:val="-20"/>
        </w:rPr>
        <w:t xml:space="preserve"> </w:t>
      </w:r>
      <w:r>
        <w:t>RM2,181,375.47.</w:t>
      </w:r>
    </w:p>
    <w:p w:rsidR="00000000" w:rsidRDefault="003B1894">
      <w:pPr>
        <w:pStyle w:val="BodyText"/>
        <w:kinsoku w:val="0"/>
        <w:overflowPunct w:val="0"/>
        <w:spacing w:before="2"/>
        <w:ind w:left="0"/>
      </w:pPr>
    </w:p>
    <w:p w:rsidR="00000000" w:rsidRDefault="003B1894">
      <w:pPr>
        <w:pStyle w:val="Heading1"/>
        <w:numPr>
          <w:ilvl w:val="0"/>
          <w:numId w:val="1"/>
        </w:numPr>
        <w:tabs>
          <w:tab w:val="left" w:pos="684"/>
        </w:tabs>
        <w:kinsoku w:val="0"/>
        <w:overflowPunct w:val="0"/>
        <w:rPr>
          <w:b w:val="0"/>
          <w:bCs w:val="0"/>
        </w:rPr>
      </w:pPr>
      <w:r>
        <w:t>Document available for</w:t>
      </w:r>
      <w:r>
        <w:rPr>
          <w:spacing w:val="-10"/>
        </w:rPr>
        <w:t xml:space="preserve"> </w:t>
      </w:r>
      <w:r>
        <w:t>inspection</w:t>
      </w:r>
    </w:p>
    <w:p w:rsidR="00000000" w:rsidRDefault="003B1894">
      <w:pPr>
        <w:pStyle w:val="BodyText"/>
        <w:kinsoku w:val="0"/>
        <w:overflowPunct w:val="0"/>
        <w:spacing w:before="9"/>
        <w:ind w:left="0"/>
        <w:rPr>
          <w:b/>
          <w:bCs/>
          <w:sz w:val="20"/>
          <w:szCs w:val="20"/>
        </w:rPr>
      </w:pPr>
    </w:p>
    <w:p w:rsidR="00000000" w:rsidRDefault="003B1894">
      <w:pPr>
        <w:pStyle w:val="BodyText"/>
        <w:kinsoku w:val="0"/>
        <w:overflowPunct w:val="0"/>
        <w:ind w:right="218"/>
        <w:jc w:val="both"/>
      </w:pPr>
      <w:r>
        <w:t>The Agreement is available for inspectio</w:t>
      </w:r>
      <w:r>
        <w:t>n by members at the registered office of the Company at Unit 30-01, Level 30, Tower A, Vertical Business Suite, Avenue 3, Bangsar South, No. 8, Jalan Kerinchi, 59200 Kuala Lumpur, Wilayah Persekutuan, Malaysia during normal business hours from Mondays to F</w:t>
      </w:r>
      <w:r>
        <w:t>ridays (except public holidays) for a period of three (3) months from the date of this</w:t>
      </w:r>
      <w:r>
        <w:rPr>
          <w:spacing w:val="-3"/>
        </w:rPr>
        <w:t xml:space="preserve"> </w:t>
      </w:r>
      <w:r>
        <w:t>announcement.</w:t>
      </w:r>
    </w:p>
    <w:p w:rsidR="00000000" w:rsidRDefault="003B1894">
      <w:pPr>
        <w:pStyle w:val="BodyText"/>
        <w:kinsoku w:val="0"/>
        <w:overflowPunct w:val="0"/>
        <w:ind w:left="0"/>
        <w:rPr>
          <w:sz w:val="20"/>
          <w:szCs w:val="20"/>
        </w:rPr>
      </w:pPr>
    </w:p>
    <w:p w:rsidR="00000000" w:rsidRDefault="003B1894">
      <w:pPr>
        <w:pStyle w:val="BodyText"/>
        <w:kinsoku w:val="0"/>
        <w:overflowPunct w:val="0"/>
        <w:ind w:left="0"/>
        <w:rPr>
          <w:sz w:val="22"/>
          <w:szCs w:val="22"/>
        </w:rPr>
      </w:pPr>
    </w:p>
    <w:p w:rsidR="003B1894" w:rsidRDefault="003B1894">
      <w:pPr>
        <w:pStyle w:val="Heading1"/>
        <w:kinsoku w:val="0"/>
        <w:overflowPunct w:val="0"/>
        <w:ind w:left="116" w:firstLine="0"/>
        <w:rPr>
          <w:b w:val="0"/>
          <w:bCs w:val="0"/>
        </w:rPr>
      </w:pPr>
      <w:r>
        <w:t>This announcement is dated 11 November</w:t>
      </w:r>
      <w:r>
        <w:rPr>
          <w:spacing w:val="-5"/>
        </w:rPr>
        <w:t xml:space="preserve"> </w:t>
      </w:r>
      <w:r>
        <w:t>2019.</w:t>
      </w:r>
    </w:p>
    <w:sectPr w:rsidR="003B1894">
      <w:pgSz w:w="12240" w:h="15840"/>
      <w:pgMar w:top="840" w:right="1100" w:bottom="1180" w:left="1160" w:header="0" w:footer="999" w:gutter="0"/>
      <w:cols w:space="720" w:equalWidth="0">
        <w:col w:w="99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894" w:rsidRDefault="003B1894">
      <w:r>
        <w:separator/>
      </w:r>
    </w:p>
  </w:endnote>
  <w:endnote w:type="continuationSeparator" w:id="0">
    <w:p w:rsidR="003B1894" w:rsidRDefault="003B1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73582">
    <w:pPr>
      <w:pStyle w:val="BodyText"/>
      <w:kinsoku w:val="0"/>
      <w:overflowPunct w:val="0"/>
      <w:spacing w:line="14" w:lineRule="auto"/>
      <w:ind w:left="0"/>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6270625</wp:posOffset>
              </wp:positionH>
              <wp:positionV relativeFrom="page">
                <wp:posOffset>9284335</wp:posOffset>
              </wp:positionV>
              <wp:extent cx="67373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B1894">
                          <w:pPr>
                            <w:pStyle w:val="BodyText"/>
                            <w:kinsoku w:val="0"/>
                            <w:overflowPunct w:val="0"/>
                            <w:spacing w:line="224" w:lineRule="exact"/>
                            <w:ind w:left="20"/>
                            <w:rPr>
                              <w:sz w:val="20"/>
                              <w:szCs w:val="20"/>
                            </w:rPr>
                          </w:pPr>
                          <w:r>
                            <w:rPr>
                              <w:sz w:val="20"/>
                              <w:szCs w:val="20"/>
                            </w:rPr>
                            <w:t xml:space="preserve">Page </w:t>
                          </w:r>
                          <w:r>
                            <w:rPr>
                              <w:b/>
                              <w:bCs/>
                              <w:sz w:val="20"/>
                              <w:szCs w:val="20"/>
                            </w:rPr>
                            <w:fldChar w:fldCharType="begin"/>
                          </w:r>
                          <w:r>
                            <w:rPr>
                              <w:b/>
                              <w:bCs/>
                              <w:sz w:val="20"/>
                              <w:szCs w:val="20"/>
                            </w:rPr>
                            <w:instrText xml:space="preserve"> PAGE </w:instrText>
                          </w:r>
                          <w:r w:rsidR="00A73582">
                            <w:rPr>
                              <w:b/>
                              <w:bCs/>
                              <w:sz w:val="20"/>
                              <w:szCs w:val="20"/>
                            </w:rPr>
                            <w:fldChar w:fldCharType="separate"/>
                          </w:r>
                          <w:r w:rsidR="00A73582">
                            <w:rPr>
                              <w:b/>
                              <w:bCs/>
                              <w:noProof/>
                              <w:sz w:val="20"/>
                              <w:szCs w:val="20"/>
                            </w:rPr>
                            <w:t>2</w:t>
                          </w:r>
                          <w:r>
                            <w:rPr>
                              <w:b/>
                              <w:bCs/>
                              <w:sz w:val="20"/>
                              <w:szCs w:val="20"/>
                            </w:rPr>
                            <w:fldChar w:fldCharType="end"/>
                          </w:r>
                          <w:r>
                            <w:rPr>
                              <w:b/>
                              <w:bCs/>
                              <w:sz w:val="20"/>
                              <w:szCs w:val="20"/>
                            </w:rPr>
                            <w:t xml:space="preserve">  </w:t>
                          </w:r>
                          <w:r>
                            <w:rPr>
                              <w:sz w:val="20"/>
                              <w:szCs w:val="20"/>
                            </w:rPr>
                            <w:t>of</w:t>
                          </w:r>
                          <w:r>
                            <w:rPr>
                              <w:spacing w:val="-6"/>
                              <w:sz w:val="20"/>
                              <w:szCs w:val="20"/>
                            </w:rPr>
                            <w:t xml:space="preserve"> </w:t>
                          </w:r>
                          <w:r>
                            <w:rPr>
                              <w:b/>
                              <w:bCs/>
                              <w:sz w:val="20"/>
                              <w:szCs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3.75pt;margin-top:731.05pt;width:53.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" o:allowincell="f" filled="f" stroked="f">
              <v:textbox inset="0,0,0,0">
                <w:txbxContent>
                  <w:p w:rsidR="00000000" w:rsidRDefault="003B1894">
                    <w:pPr>
                      <w:pStyle w:val="BodyText"/>
                      <w:kinsoku w:val="0"/>
                      <w:overflowPunct w:val="0"/>
                      <w:spacing w:line="224" w:lineRule="exact"/>
                      <w:ind w:left="20"/>
                      <w:rPr>
                        <w:sz w:val="20"/>
                        <w:szCs w:val="20"/>
                      </w:rPr>
                    </w:pPr>
                    <w:r>
                      <w:rPr>
                        <w:sz w:val="20"/>
                        <w:szCs w:val="20"/>
                      </w:rPr>
                      <w:t xml:space="preserve">Page </w:t>
                    </w:r>
                    <w:r>
                      <w:rPr>
                        <w:b/>
                        <w:bCs/>
                        <w:sz w:val="20"/>
                        <w:szCs w:val="20"/>
                      </w:rPr>
                      <w:fldChar w:fldCharType="begin"/>
                    </w:r>
                    <w:r>
                      <w:rPr>
                        <w:b/>
                        <w:bCs/>
                        <w:sz w:val="20"/>
                        <w:szCs w:val="20"/>
                      </w:rPr>
                      <w:instrText xml:space="preserve"> PAGE </w:instrText>
                    </w:r>
                    <w:r w:rsidR="00A73582">
                      <w:rPr>
                        <w:b/>
                        <w:bCs/>
                        <w:sz w:val="20"/>
                        <w:szCs w:val="20"/>
                      </w:rPr>
                      <w:fldChar w:fldCharType="separate"/>
                    </w:r>
                    <w:r w:rsidR="00A73582">
                      <w:rPr>
                        <w:b/>
                        <w:bCs/>
                        <w:noProof/>
                        <w:sz w:val="20"/>
                        <w:szCs w:val="20"/>
                      </w:rPr>
                      <w:t>2</w:t>
                    </w:r>
                    <w:r>
                      <w:rPr>
                        <w:b/>
                        <w:bCs/>
                        <w:sz w:val="20"/>
                        <w:szCs w:val="20"/>
                      </w:rPr>
                      <w:fldChar w:fldCharType="end"/>
                    </w:r>
                    <w:r>
                      <w:rPr>
                        <w:b/>
                        <w:bCs/>
                        <w:sz w:val="20"/>
                        <w:szCs w:val="20"/>
                      </w:rPr>
                      <w:t xml:space="preserve">  </w:t>
                    </w:r>
                    <w:r>
                      <w:rPr>
                        <w:sz w:val="20"/>
                        <w:szCs w:val="20"/>
                      </w:rPr>
                      <w:t>of</w:t>
                    </w:r>
                    <w:r>
                      <w:rPr>
                        <w:spacing w:val="-6"/>
                        <w:sz w:val="20"/>
                        <w:szCs w:val="20"/>
                      </w:rPr>
                      <w:t xml:space="preserve"> </w:t>
                    </w:r>
                    <w:r>
                      <w:rPr>
                        <w:b/>
                        <w:bCs/>
                        <w:sz w:val="20"/>
                        <w:szCs w:val="20"/>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894" w:rsidRDefault="003B1894">
      <w:r>
        <w:separator/>
      </w:r>
    </w:p>
  </w:footnote>
  <w:footnote w:type="continuationSeparator" w:id="0">
    <w:p w:rsidR="003B1894" w:rsidRDefault="003B1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683" w:hanging="567"/>
      </w:pPr>
      <w:rPr>
        <w:rFonts w:ascii="Arial" w:hAnsi="Arial" w:cs="Arial"/>
        <w:b/>
        <w:bCs/>
        <w:spacing w:val="-1"/>
        <w:w w:val="100"/>
        <w:sz w:val="22"/>
        <w:szCs w:val="22"/>
      </w:rPr>
    </w:lvl>
    <w:lvl w:ilvl="1">
      <w:start w:val="1"/>
      <w:numFmt w:val="decimal"/>
      <w:lvlText w:val="%1.%2"/>
      <w:lvlJc w:val="left"/>
      <w:pPr>
        <w:ind w:left="1283" w:hanging="627"/>
      </w:pPr>
      <w:rPr>
        <w:rFonts w:ascii="Arial" w:hAnsi="Arial" w:cs="Arial"/>
        <w:b w:val="0"/>
        <w:bCs w:val="0"/>
        <w:spacing w:val="-1"/>
        <w:w w:val="100"/>
      </w:rPr>
    </w:lvl>
    <w:lvl w:ilvl="2">
      <w:start w:val="1"/>
      <w:numFmt w:val="lowerLetter"/>
      <w:lvlText w:val="(%3)"/>
      <w:lvlJc w:val="left"/>
      <w:pPr>
        <w:ind w:left="1818" w:hanging="569"/>
      </w:pPr>
      <w:rPr>
        <w:rFonts w:ascii="Arial" w:hAnsi="Arial" w:cs="Arial"/>
        <w:b w:val="0"/>
        <w:bCs w:val="0"/>
        <w:spacing w:val="-1"/>
        <w:w w:val="100"/>
        <w:sz w:val="21"/>
        <w:szCs w:val="21"/>
      </w:rPr>
    </w:lvl>
    <w:lvl w:ilvl="3">
      <w:numFmt w:val="bullet"/>
      <w:lvlText w:val="•"/>
      <w:lvlJc w:val="left"/>
      <w:pPr>
        <w:ind w:left="1820" w:hanging="569"/>
      </w:pPr>
    </w:lvl>
    <w:lvl w:ilvl="4">
      <w:numFmt w:val="bullet"/>
      <w:lvlText w:val="•"/>
      <w:lvlJc w:val="left"/>
      <w:pPr>
        <w:ind w:left="2971" w:hanging="569"/>
      </w:pPr>
    </w:lvl>
    <w:lvl w:ilvl="5">
      <w:numFmt w:val="bullet"/>
      <w:lvlText w:val="•"/>
      <w:lvlJc w:val="left"/>
      <w:pPr>
        <w:ind w:left="4122" w:hanging="569"/>
      </w:pPr>
    </w:lvl>
    <w:lvl w:ilvl="6">
      <w:numFmt w:val="bullet"/>
      <w:lvlText w:val="•"/>
      <w:lvlJc w:val="left"/>
      <w:pPr>
        <w:ind w:left="5274" w:hanging="569"/>
      </w:pPr>
    </w:lvl>
    <w:lvl w:ilvl="7">
      <w:numFmt w:val="bullet"/>
      <w:lvlText w:val="•"/>
      <w:lvlJc w:val="left"/>
      <w:pPr>
        <w:ind w:left="6425" w:hanging="569"/>
      </w:pPr>
    </w:lvl>
    <w:lvl w:ilvl="8">
      <w:numFmt w:val="bullet"/>
      <w:lvlText w:val="•"/>
      <w:lvlJc w:val="left"/>
      <w:pPr>
        <w:ind w:left="7577" w:hanging="56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82"/>
    <w:rsid w:val="003B1894"/>
    <w:rsid w:val="00A73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FFCFAEE-0CA4-45BF-ABD2-5DD78E41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683" w:hanging="567"/>
      <w:outlineLvl w:val="0"/>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83"/>
    </w:pPr>
    <w:rPr>
      <w:rFonts w:ascii="Arial" w:hAnsi="Arial" w:cs="Arial"/>
      <w:sz w:val="21"/>
      <w:szCs w:val="21"/>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2021-04-02T05:03:00Z</dcterms:created>
  <dcterms:modified xsi:type="dcterms:W3CDTF">2021-04-02T05:03:00Z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